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宋体" w:eastAsia="黑体"/>
          <w:bCs/>
          <w:sz w:val="32"/>
          <w:szCs w:val="32"/>
        </w:rPr>
      </w:pPr>
      <w:r>
        <w:rPr>
          <w:rFonts w:hint="eastAsia" w:ascii="黑体" w:hAnsi="宋体" w:eastAsia="黑体"/>
          <w:bCs/>
          <w:sz w:val="32"/>
          <w:szCs w:val="32"/>
        </w:rPr>
        <w:t>重庆能投渝新能源有限公司物资管理系统</w:t>
      </w:r>
    </w:p>
    <w:p>
      <w:pPr>
        <w:jc w:val="center"/>
        <w:rPr>
          <w:rFonts w:ascii="黑体" w:hAnsi="宋体" w:eastAsia="黑体"/>
          <w:bCs/>
          <w:sz w:val="32"/>
          <w:szCs w:val="32"/>
        </w:rPr>
      </w:pPr>
    </w:p>
    <w:p>
      <w:pPr>
        <w:tabs>
          <w:tab w:val="left" w:pos="360"/>
        </w:tabs>
        <w:jc w:val="center"/>
        <w:rPr>
          <w:rFonts w:ascii="黑体" w:hAnsi="宋体" w:eastAsia="黑体"/>
          <w:b/>
          <w:sz w:val="48"/>
          <w:szCs w:val="48"/>
        </w:rPr>
      </w:pPr>
      <w:r>
        <w:rPr>
          <w:rFonts w:hint="eastAsia" w:ascii="黑体" w:eastAsia="黑体"/>
          <w:b/>
          <w:bCs/>
          <w:color w:val="000000"/>
          <w:sz w:val="48"/>
          <w:szCs w:val="48"/>
        </w:rPr>
        <w:t>竞争性比选文件</w:t>
      </w:r>
    </w:p>
    <w:p>
      <w:pPr>
        <w:spacing w:line="360" w:lineRule="auto"/>
        <w:ind w:firstLine="1120" w:firstLineChars="400"/>
        <w:jc w:val="center"/>
        <w:rPr>
          <w:rFonts w:ascii="宋体" w:hAnsi="宋体"/>
          <w:color w:val="0000FF"/>
          <w:sz w:val="28"/>
          <w:szCs w:val="28"/>
        </w:rPr>
      </w:pPr>
    </w:p>
    <w:p>
      <w:pPr>
        <w:tabs>
          <w:tab w:val="left" w:pos="2635"/>
        </w:tabs>
        <w:spacing w:line="360" w:lineRule="auto"/>
        <w:ind w:firstLine="1767" w:firstLineChars="400"/>
        <w:jc w:val="center"/>
        <w:rPr>
          <w:rFonts w:ascii="宋体" w:hAnsi="宋体"/>
          <w:b/>
          <w:color w:val="000000"/>
          <w:sz w:val="44"/>
          <w:szCs w:val="44"/>
        </w:rPr>
      </w:pPr>
    </w:p>
    <w:p>
      <w:pPr>
        <w:spacing w:line="360" w:lineRule="auto"/>
        <w:ind w:firstLine="723" w:firstLineChars="200"/>
        <w:jc w:val="center"/>
        <w:rPr>
          <w:rFonts w:ascii="宋体" w:hAnsi="宋体"/>
          <w:b/>
          <w:bCs/>
          <w:sz w:val="36"/>
        </w:rPr>
      </w:pPr>
    </w:p>
    <w:p>
      <w:pPr>
        <w:pStyle w:val="23"/>
        <w:adjustRightInd/>
        <w:spacing w:line="240" w:lineRule="auto"/>
        <w:textAlignment w:val="auto"/>
        <w:rPr>
          <w:rFonts w:hAnsi="宋体"/>
          <w:kern w:val="2"/>
          <w:szCs w:val="24"/>
        </w:rPr>
      </w:pPr>
    </w:p>
    <w:p>
      <w:pPr>
        <w:pStyle w:val="23"/>
        <w:adjustRightInd/>
        <w:spacing w:line="240" w:lineRule="auto"/>
        <w:ind w:firstLine="1540" w:firstLineChars="550"/>
        <w:jc w:val="center"/>
        <w:textAlignment w:val="auto"/>
        <w:rPr>
          <w:rFonts w:hAnsi="宋体"/>
          <w:kern w:val="2"/>
          <w:szCs w:val="24"/>
        </w:rPr>
      </w:pPr>
    </w:p>
    <w:p>
      <w:pPr>
        <w:pStyle w:val="23"/>
        <w:adjustRightInd/>
        <w:spacing w:line="240" w:lineRule="auto"/>
        <w:jc w:val="center"/>
        <w:textAlignment w:val="auto"/>
        <w:rPr>
          <w:rFonts w:hAnsi="宋体"/>
          <w:kern w:val="2"/>
          <w:szCs w:val="24"/>
        </w:rPr>
      </w:pPr>
    </w:p>
    <w:p>
      <w:pPr>
        <w:pStyle w:val="23"/>
        <w:adjustRightInd/>
        <w:spacing w:line="240" w:lineRule="auto"/>
        <w:jc w:val="center"/>
        <w:textAlignment w:val="auto"/>
        <w:rPr>
          <w:rFonts w:hAnsi="宋体"/>
          <w:kern w:val="2"/>
          <w:szCs w:val="24"/>
        </w:rPr>
      </w:pPr>
    </w:p>
    <w:p>
      <w:pPr>
        <w:pStyle w:val="23"/>
        <w:adjustRightInd/>
        <w:spacing w:line="240" w:lineRule="auto"/>
        <w:jc w:val="center"/>
        <w:textAlignment w:val="auto"/>
        <w:rPr>
          <w:rFonts w:hAnsi="宋体"/>
          <w:kern w:val="2"/>
          <w:szCs w:val="24"/>
        </w:rPr>
      </w:pPr>
    </w:p>
    <w:p>
      <w:pPr>
        <w:pStyle w:val="23"/>
        <w:adjustRightInd/>
        <w:spacing w:line="240" w:lineRule="auto"/>
        <w:jc w:val="center"/>
        <w:textAlignment w:val="auto"/>
        <w:rPr>
          <w:rFonts w:hAnsi="宋体"/>
          <w:kern w:val="2"/>
          <w:szCs w:val="24"/>
        </w:rPr>
      </w:pPr>
    </w:p>
    <w:p>
      <w:pPr>
        <w:pStyle w:val="23"/>
        <w:adjustRightInd/>
        <w:spacing w:line="240" w:lineRule="auto"/>
        <w:jc w:val="center"/>
        <w:textAlignment w:val="auto"/>
        <w:rPr>
          <w:rFonts w:hAnsi="宋体"/>
          <w:kern w:val="2"/>
          <w:szCs w:val="24"/>
        </w:rPr>
      </w:pPr>
    </w:p>
    <w:p>
      <w:pPr>
        <w:pStyle w:val="23"/>
        <w:adjustRightInd/>
        <w:spacing w:line="240" w:lineRule="auto"/>
        <w:jc w:val="center"/>
        <w:textAlignment w:val="auto"/>
        <w:rPr>
          <w:rFonts w:hAnsi="宋体"/>
          <w:kern w:val="2"/>
          <w:szCs w:val="24"/>
        </w:rPr>
      </w:pPr>
    </w:p>
    <w:p>
      <w:pPr>
        <w:spacing w:line="720" w:lineRule="auto"/>
        <w:jc w:val="center"/>
        <w:rPr>
          <w:rStyle w:val="18"/>
          <w:color w:val="000000"/>
          <w:sz w:val="32"/>
          <w:szCs w:val="32"/>
        </w:rPr>
      </w:pPr>
      <w:r>
        <w:rPr>
          <w:rStyle w:val="18"/>
          <w:rFonts w:hint="eastAsia"/>
          <w:color w:val="000000"/>
          <w:sz w:val="32"/>
          <w:szCs w:val="32"/>
        </w:rPr>
        <w:t>邀请人：重庆能投渝新能源有限公司</w:t>
      </w:r>
    </w:p>
    <w:p>
      <w:pPr>
        <w:spacing w:line="720" w:lineRule="auto"/>
        <w:jc w:val="center"/>
        <w:rPr>
          <w:rStyle w:val="18"/>
          <w:color w:val="000000"/>
          <w:sz w:val="32"/>
          <w:szCs w:val="32"/>
        </w:rPr>
      </w:pPr>
      <w:r>
        <w:rPr>
          <w:rStyle w:val="18"/>
          <w:color w:val="000000"/>
          <w:sz w:val="32"/>
          <w:szCs w:val="32"/>
        </w:rPr>
        <w:t>编制日期：</w:t>
      </w:r>
      <w:r>
        <w:rPr>
          <w:rStyle w:val="18"/>
          <w:rFonts w:hint="eastAsia"/>
          <w:color w:val="000000"/>
          <w:sz w:val="32"/>
          <w:szCs w:val="32"/>
        </w:rPr>
        <w:t>2018年</w:t>
      </w:r>
      <w:r>
        <w:rPr>
          <w:rStyle w:val="18"/>
          <w:rFonts w:hint="eastAsia"/>
          <w:sz w:val="32"/>
          <w:szCs w:val="32"/>
        </w:rPr>
        <w:t>7月23日</w:t>
      </w:r>
    </w:p>
    <w:p>
      <w:pPr>
        <w:jc w:val="center"/>
        <w:rPr>
          <w:rFonts w:ascii="仿宋_GB2312" w:hAnsi="宋体" w:eastAsia="仿宋_GB2312"/>
          <w:b/>
          <w:bCs/>
          <w:sz w:val="30"/>
        </w:rPr>
      </w:pPr>
    </w:p>
    <w:p>
      <w:pPr>
        <w:autoSpaceDE w:val="0"/>
        <w:autoSpaceDN w:val="0"/>
        <w:jc w:val="center"/>
        <w:textAlignment w:val="bottom"/>
        <w:rPr>
          <w:rFonts w:ascii="黑体" w:hAnsi="宋体" w:eastAsia="黑体"/>
          <w:b/>
          <w:bCs/>
          <w:sz w:val="32"/>
        </w:rPr>
      </w:pPr>
    </w:p>
    <w:p>
      <w:pPr>
        <w:autoSpaceDE w:val="0"/>
        <w:autoSpaceDN w:val="0"/>
        <w:ind w:firstLine="3518" w:firstLineChars="1095"/>
        <w:textAlignment w:val="bottom"/>
        <w:rPr>
          <w:rFonts w:ascii="黑体" w:hAnsi="宋体" w:eastAsia="黑体"/>
          <w:b/>
          <w:bCs/>
          <w:sz w:val="32"/>
        </w:rPr>
      </w:pPr>
    </w:p>
    <w:p>
      <w:pPr>
        <w:autoSpaceDE w:val="0"/>
        <w:autoSpaceDN w:val="0"/>
        <w:ind w:firstLine="3518" w:firstLineChars="1095"/>
        <w:textAlignment w:val="bottom"/>
        <w:rPr>
          <w:rFonts w:ascii="黑体" w:hAnsi="宋体" w:eastAsia="黑体"/>
          <w:b/>
          <w:bCs/>
          <w:sz w:val="32"/>
        </w:rPr>
      </w:pPr>
    </w:p>
    <w:p>
      <w:pPr>
        <w:autoSpaceDE w:val="0"/>
        <w:autoSpaceDN w:val="0"/>
        <w:ind w:firstLine="3518" w:firstLineChars="1095"/>
        <w:textAlignment w:val="bottom"/>
        <w:rPr>
          <w:rFonts w:ascii="黑体" w:hAnsi="宋体" w:eastAsia="黑体"/>
          <w:b/>
          <w:bCs/>
          <w:sz w:val="32"/>
        </w:rPr>
      </w:pPr>
    </w:p>
    <w:p>
      <w:pPr>
        <w:autoSpaceDE w:val="0"/>
        <w:autoSpaceDN w:val="0"/>
        <w:ind w:firstLine="3518" w:firstLineChars="1095"/>
        <w:textAlignment w:val="bottom"/>
        <w:rPr>
          <w:rFonts w:ascii="黑体" w:hAnsi="宋体" w:eastAsia="黑体"/>
          <w:b/>
          <w:bCs/>
          <w:sz w:val="32"/>
        </w:rPr>
      </w:pPr>
      <w:r>
        <w:rPr>
          <w:rFonts w:hint="eastAsia" w:ascii="黑体" w:hAnsi="宋体" w:eastAsia="黑体"/>
          <w:b/>
          <w:bCs/>
          <w:sz w:val="32"/>
        </w:rPr>
        <w:t>目   录</w:t>
      </w:r>
    </w:p>
    <w:p>
      <w:pPr>
        <w:autoSpaceDE w:val="0"/>
        <w:autoSpaceDN w:val="0"/>
        <w:textAlignment w:val="bottom"/>
        <w:rPr>
          <w:rFonts w:ascii="仿宋_GB2312" w:hAnsi="宋体" w:eastAsia="仿宋_GB2312"/>
          <w:sz w:val="30"/>
        </w:rPr>
      </w:pPr>
    </w:p>
    <w:p>
      <w:pPr>
        <w:autoSpaceDE w:val="0"/>
        <w:autoSpaceDN w:val="0"/>
        <w:ind w:firstLine="1680" w:firstLineChars="700"/>
        <w:textAlignment w:val="bottom"/>
        <w:rPr>
          <w:rFonts w:ascii="宋体" w:hAnsi="宋体"/>
          <w:sz w:val="24"/>
        </w:rPr>
      </w:pPr>
    </w:p>
    <w:p>
      <w:pPr>
        <w:autoSpaceDE w:val="0"/>
        <w:autoSpaceDN w:val="0"/>
        <w:ind w:firstLine="1680" w:firstLineChars="700"/>
        <w:textAlignment w:val="bottom"/>
        <w:rPr>
          <w:rFonts w:ascii="宋体" w:hAnsi="宋体"/>
          <w:sz w:val="24"/>
        </w:rPr>
      </w:pPr>
      <w:r>
        <w:rPr>
          <w:rFonts w:hint="eastAsia" w:ascii="宋体" w:hAnsi="宋体"/>
          <w:sz w:val="24"/>
        </w:rPr>
        <w:t>第一部分  竞争性比选邀请书</w:t>
      </w:r>
    </w:p>
    <w:p>
      <w:pPr>
        <w:autoSpaceDE w:val="0"/>
        <w:autoSpaceDN w:val="0"/>
        <w:ind w:firstLine="1680" w:firstLineChars="700"/>
        <w:textAlignment w:val="bottom"/>
        <w:rPr>
          <w:rFonts w:ascii="宋体" w:hAnsi="宋体"/>
          <w:sz w:val="24"/>
        </w:rPr>
      </w:pPr>
    </w:p>
    <w:p>
      <w:pPr>
        <w:autoSpaceDE w:val="0"/>
        <w:autoSpaceDN w:val="0"/>
        <w:ind w:firstLine="1680" w:firstLineChars="700"/>
        <w:textAlignment w:val="bottom"/>
        <w:rPr>
          <w:rFonts w:ascii="宋体" w:hAnsi="宋体"/>
          <w:sz w:val="24"/>
        </w:rPr>
      </w:pPr>
      <w:r>
        <w:rPr>
          <w:rFonts w:hint="eastAsia" w:ascii="宋体" w:hAnsi="宋体"/>
          <w:sz w:val="24"/>
        </w:rPr>
        <w:t>第二部分  参选须知</w:t>
      </w:r>
    </w:p>
    <w:p>
      <w:pPr>
        <w:autoSpaceDE w:val="0"/>
        <w:autoSpaceDN w:val="0"/>
        <w:ind w:firstLine="1680" w:firstLineChars="700"/>
        <w:textAlignment w:val="bottom"/>
        <w:rPr>
          <w:rFonts w:ascii="宋体" w:hAnsi="宋体"/>
          <w:sz w:val="24"/>
        </w:rPr>
      </w:pPr>
    </w:p>
    <w:p>
      <w:pPr>
        <w:autoSpaceDE w:val="0"/>
        <w:autoSpaceDN w:val="0"/>
        <w:ind w:firstLine="1680" w:firstLineChars="700"/>
        <w:textAlignment w:val="bottom"/>
        <w:rPr>
          <w:rFonts w:ascii="宋体" w:hAnsi="宋体"/>
          <w:sz w:val="24"/>
        </w:rPr>
      </w:pPr>
      <w:r>
        <w:rPr>
          <w:rFonts w:hint="eastAsia" w:ascii="宋体" w:hAnsi="宋体"/>
          <w:sz w:val="24"/>
        </w:rPr>
        <w:t>第三部分  合同主要条款</w:t>
      </w:r>
    </w:p>
    <w:p>
      <w:pPr>
        <w:autoSpaceDE w:val="0"/>
        <w:autoSpaceDN w:val="0"/>
        <w:ind w:firstLine="1680" w:firstLineChars="700"/>
        <w:textAlignment w:val="bottom"/>
        <w:rPr>
          <w:rFonts w:ascii="宋体" w:hAnsi="宋体"/>
          <w:sz w:val="24"/>
        </w:rPr>
      </w:pPr>
    </w:p>
    <w:p>
      <w:pPr>
        <w:autoSpaceDE w:val="0"/>
        <w:autoSpaceDN w:val="0"/>
        <w:ind w:firstLine="1680" w:firstLineChars="700"/>
        <w:textAlignment w:val="bottom"/>
        <w:rPr>
          <w:rFonts w:ascii="宋体" w:hAnsi="宋体"/>
          <w:sz w:val="24"/>
        </w:rPr>
      </w:pPr>
      <w:r>
        <w:rPr>
          <w:rFonts w:hint="eastAsia" w:ascii="宋体" w:hAnsi="宋体"/>
          <w:sz w:val="24"/>
        </w:rPr>
        <w:t>第四部分《高清视频会议系统技术规格书》</w:t>
      </w:r>
    </w:p>
    <w:p>
      <w:pPr>
        <w:autoSpaceDE w:val="0"/>
        <w:autoSpaceDN w:val="0"/>
        <w:ind w:firstLine="1680" w:firstLineChars="700"/>
        <w:textAlignment w:val="bottom"/>
        <w:rPr>
          <w:rFonts w:ascii="宋体" w:hAnsi="宋体"/>
          <w:sz w:val="24"/>
        </w:rPr>
      </w:pPr>
    </w:p>
    <w:p>
      <w:pPr>
        <w:autoSpaceDE w:val="0"/>
        <w:autoSpaceDN w:val="0"/>
        <w:ind w:firstLine="1680" w:firstLineChars="700"/>
        <w:textAlignment w:val="bottom"/>
        <w:rPr>
          <w:rFonts w:ascii="宋体" w:hAnsi="宋体"/>
          <w:sz w:val="24"/>
        </w:rPr>
      </w:pPr>
      <w:r>
        <w:rPr>
          <w:rFonts w:hint="eastAsia" w:ascii="宋体" w:hAnsi="宋体"/>
          <w:sz w:val="24"/>
        </w:rPr>
        <w:t>第五部分 评审标准</w:t>
      </w:r>
    </w:p>
    <w:p>
      <w:pPr>
        <w:autoSpaceDE w:val="0"/>
        <w:autoSpaceDN w:val="0"/>
        <w:ind w:firstLine="1680" w:firstLineChars="700"/>
        <w:textAlignment w:val="bottom"/>
        <w:rPr>
          <w:rFonts w:ascii="宋体" w:hAnsi="宋体"/>
          <w:sz w:val="24"/>
        </w:rPr>
      </w:pPr>
    </w:p>
    <w:p>
      <w:pPr>
        <w:autoSpaceDE w:val="0"/>
        <w:autoSpaceDN w:val="0"/>
        <w:ind w:firstLine="1680" w:firstLineChars="700"/>
        <w:textAlignment w:val="bottom"/>
        <w:rPr>
          <w:rFonts w:ascii="宋体" w:hAnsi="宋体"/>
          <w:sz w:val="24"/>
        </w:rPr>
      </w:pPr>
      <w:r>
        <w:rPr>
          <w:rFonts w:hint="eastAsia" w:ascii="宋体" w:hAnsi="宋体"/>
          <w:sz w:val="24"/>
        </w:rPr>
        <w:t>第六部分  参选文件格式</w:t>
      </w:r>
    </w:p>
    <w:p>
      <w:pPr>
        <w:autoSpaceDE w:val="0"/>
        <w:autoSpaceDN w:val="0"/>
        <w:ind w:firstLine="1680" w:firstLineChars="700"/>
        <w:textAlignment w:val="bottom"/>
        <w:rPr>
          <w:rFonts w:ascii="宋体" w:hAnsi="宋体"/>
          <w:sz w:val="24"/>
        </w:rPr>
      </w:pPr>
    </w:p>
    <w:p>
      <w:pPr>
        <w:autoSpaceDE w:val="0"/>
        <w:autoSpaceDN w:val="0"/>
        <w:ind w:firstLine="1680" w:firstLineChars="700"/>
        <w:textAlignment w:val="bottom"/>
        <w:rPr>
          <w:rFonts w:ascii="宋体" w:hAnsi="宋体"/>
          <w:sz w:val="24"/>
        </w:rPr>
      </w:pPr>
    </w:p>
    <w:p>
      <w:pPr>
        <w:autoSpaceDE w:val="0"/>
        <w:autoSpaceDN w:val="0"/>
        <w:textAlignment w:val="bottom"/>
        <w:rPr>
          <w:rFonts w:ascii="宋体" w:hAnsi="宋体"/>
          <w:sz w:val="24"/>
        </w:rPr>
      </w:pPr>
    </w:p>
    <w:p>
      <w:pPr>
        <w:spacing w:line="360" w:lineRule="auto"/>
        <w:ind w:firstLine="640" w:firstLineChars="200"/>
        <w:rPr>
          <w:rFonts w:ascii="宋体" w:hAnsi="宋体"/>
          <w:sz w:val="32"/>
        </w:rPr>
      </w:pPr>
    </w:p>
    <w:p>
      <w:pPr>
        <w:spacing w:line="360" w:lineRule="auto"/>
        <w:ind w:firstLine="640" w:firstLineChars="200"/>
        <w:rPr>
          <w:rFonts w:ascii="宋体" w:hAnsi="宋体"/>
          <w:sz w:val="32"/>
        </w:rPr>
      </w:pPr>
    </w:p>
    <w:p>
      <w:pPr>
        <w:spacing w:line="360" w:lineRule="auto"/>
        <w:ind w:firstLine="640" w:firstLineChars="200"/>
        <w:rPr>
          <w:rFonts w:ascii="宋体" w:hAnsi="宋体"/>
          <w:sz w:val="32"/>
        </w:rPr>
      </w:pPr>
    </w:p>
    <w:p>
      <w:pPr>
        <w:spacing w:line="360" w:lineRule="auto"/>
        <w:ind w:firstLine="840" w:firstLineChars="400"/>
        <w:rPr>
          <w:rFonts w:ascii="宋体" w:hAnsi="宋体"/>
        </w:rPr>
      </w:pPr>
    </w:p>
    <w:p>
      <w:pPr>
        <w:spacing w:line="360" w:lineRule="auto"/>
        <w:ind w:firstLine="420" w:firstLineChars="200"/>
        <w:jc w:val="left"/>
        <w:rPr>
          <w:rFonts w:ascii="宋体" w:hAnsi="宋体"/>
        </w:rPr>
      </w:pPr>
      <w:r>
        <w:rPr>
          <w:rFonts w:hint="eastAsia" w:ascii="宋体" w:hAnsi="宋体"/>
          <w:color w:val="000000"/>
        </w:rPr>
        <w:t>参</w:t>
      </w:r>
      <w:r>
        <w:rPr>
          <w:rFonts w:hint="eastAsia" w:ascii="宋体" w:hAnsi="宋体"/>
        </w:rPr>
        <w:t>选人在收到后应认真查阅，如有缺、损等情况，请于收到竞争性比选文件之日起两日内以书面形式通知重庆能投渝新能源有限公司审计法律部，否则由此造成的一切后果自负。</w:t>
      </w:r>
    </w:p>
    <w:p>
      <w:pPr>
        <w:spacing w:line="360" w:lineRule="auto"/>
        <w:rPr>
          <w:rFonts w:ascii="宋体" w:hAnsi="宋体"/>
          <w:szCs w:val="21"/>
        </w:rPr>
      </w:pPr>
    </w:p>
    <w:p>
      <w:pPr>
        <w:ind w:firstLine="3514" w:firstLineChars="1250"/>
        <w:rPr>
          <w:rFonts w:eastAsia="黑体"/>
          <w:b/>
          <w:bCs/>
          <w:sz w:val="28"/>
        </w:rPr>
      </w:pPr>
    </w:p>
    <w:p>
      <w:pPr>
        <w:ind w:firstLine="3514" w:firstLineChars="1250"/>
        <w:jc w:val="left"/>
        <w:rPr>
          <w:rFonts w:eastAsia="黑体"/>
          <w:b/>
          <w:bCs/>
          <w:sz w:val="28"/>
        </w:rPr>
      </w:pPr>
    </w:p>
    <w:p>
      <w:pPr>
        <w:jc w:val="center"/>
        <w:rPr>
          <w:rFonts w:eastAsia="黑体"/>
          <w:b/>
          <w:bCs/>
          <w:sz w:val="28"/>
        </w:rPr>
      </w:pPr>
    </w:p>
    <w:p>
      <w:pPr>
        <w:jc w:val="center"/>
        <w:rPr>
          <w:rFonts w:eastAsia="黑体"/>
          <w:b/>
          <w:bCs/>
          <w:sz w:val="28"/>
        </w:rPr>
      </w:pPr>
    </w:p>
    <w:p>
      <w:pPr>
        <w:jc w:val="center"/>
        <w:rPr>
          <w:rFonts w:eastAsia="黑体"/>
          <w:b/>
          <w:bCs/>
          <w:sz w:val="28"/>
        </w:rPr>
      </w:pPr>
    </w:p>
    <w:p>
      <w:pPr>
        <w:jc w:val="center"/>
        <w:rPr>
          <w:rFonts w:eastAsia="黑体"/>
          <w:b/>
          <w:bCs/>
          <w:sz w:val="28"/>
        </w:rPr>
      </w:pPr>
    </w:p>
    <w:p>
      <w:pPr>
        <w:jc w:val="center"/>
        <w:rPr>
          <w:rFonts w:eastAsia="黑体"/>
          <w:b/>
          <w:bCs/>
          <w:sz w:val="28"/>
        </w:rPr>
      </w:pPr>
    </w:p>
    <w:p>
      <w:pPr>
        <w:jc w:val="center"/>
        <w:rPr>
          <w:rFonts w:eastAsia="黑体"/>
          <w:b/>
          <w:bCs/>
          <w:sz w:val="28"/>
        </w:rPr>
      </w:pPr>
    </w:p>
    <w:p>
      <w:pPr>
        <w:jc w:val="center"/>
        <w:rPr>
          <w:rFonts w:eastAsia="黑体"/>
          <w:b/>
          <w:bCs/>
          <w:sz w:val="28"/>
        </w:rPr>
      </w:pPr>
      <w:r>
        <w:rPr>
          <w:rFonts w:hint="eastAsia" w:eastAsia="黑体"/>
          <w:b/>
          <w:bCs/>
          <w:sz w:val="28"/>
        </w:rPr>
        <w:t>第一部份　竞争性比选邀请书</w:t>
      </w:r>
    </w:p>
    <w:p>
      <w:pPr>
        <w:pStyle w:val="23"/>
        <w:adjustRightInd/>
        <w:spacing w:line="240" w:lineRule="auto"/>
        <w:textAlignment w:val="auto"/>
        <w:rPr>
          <w:rFonts w:ascii="黑体" w:hAnsi="宋体" w:eastAsia="黑体"/>
          <w:kern w:val="2"/>
          <w:sz w:val="24"/>
          <w:szCs w:val="21"/>
        </w:rPr>
      </w:pPr>
      <w:r>
        <w:rPr>
          <w:rFonts w:hint="eastAsia" w:ascii="黑体" w:hAnsi="宋体" w:eastAsia="黑体"/>
          <w:kern w:val="2"/>
          <w:sz w:val="24"/>
          <w:szCs w:val="21"/>
        </w:rPr>
        <w:t>各参选单位：</w:t>
      </w:r>
    </w:p>
    <w:p>
      <w:pPr>
        <w:ind w:firstLine="420" w:firstLineChars="200"/>
        <w:rPr>
          <w:rFonts w:ascii="宋体" w:hAnsi="宋体"/>
          <w:szCs w:val="21"/>
        </w:rPr>
      </w:pPr>
      <w:r>
        <w:rPr>
          <w:rFonts w:hint="eastAsia" w:ascii="宋体" w:hAnsi="宋体"/>
          <w:szCs w:val="21"/>
        </w:rPr>
        <w:t>本项目已由重庆能投渝新能源有限公司（下称：渝新能源公司）相关会议立项，项目业主为渝新能源公司，项目名称为重庆能投渝新能源有限公司高清视频会议系统，邀请人为渝新能源公司。现已具备竞争性比选条件，现邀请贵单位参选。</w:t>
      </w:r>
    </w:p>
    <w:p>
      <w:pPr>
        <w:ind w:firstLine="422" w:firstLineChars="200"/>
        <w:rPr>
          <w:rFonts w:ascii="宋体" w:hAnsi="宋体"/>
          <w:b/>
          <w:szCs w:val="21"/>
        </w:rPr>
      </w:pPr>
      <w:r>
        <w:rPr>
          <w:rFonts w:hint="eastAsia" w:ascii="宋体" w:hAnsi="宋体"/>
          <w:b/>
          <w:szCs w:val="21"/>
        </w:rPr>
        <w:t>一、项目简介</w:t>
      </w:r>
    </w:p>
    <w:p>
      <w:pPr>
        <w:ind w:firstLine="420" w:firstLineChars="200"/>
        <w:rPr>
          <w:rFonts w:ascii="宋体" w:hAnsi="宋体"/>
          <w:szCs w:val="21"/>
        </w:rPr>
      </w:pPr>
      <w:r>
        <w:rPr>
          <w:rFonts w:hint="eastAsia" w:ascii="宋体" w:hAnsi="宋体"/>
          <w:szCs w:val="21"/>
        </w:rPr>
        <w:t>1、项目名称：重庆能投渝新能源有限公司高清高清视频会议系统。</w:t>
      </w:r>
    </w:p>
    <w:p>
      <w:pPr>
        <w:ind w:firstLine="420" w:firstLineChars="200"/>
        <w:rPr>
          <w:rFonts w:ascii="宋体" w:hAnsi="宋体"/>
          <w:szCs w:val="21"/>
        </w:rPr>
      </w:pPr>
      <w:r>
        <w:rPr>
          <w:rFonts w:hint="eastAsia" w:ascii="宋体" w:hAnsi="宋体"/>
          <w:szCs w:val="21"/>
        </w:rPr>
        <w:t>2、项目业主：渝新能源公司。</w:t>
      </w:r>
    </w:p>
    <w:p>
      <w:pPr>
        <w:ind w:firstLine="420" w:firstLineChars="200"/>
        <w:rPr>
          <w:rFonts w:ascii="宋体" w:hAnsi="宋体"/>
          <w:szCs w:val="21"/>
        </w:rPr>
      </w:pPr>
      <w:r>
        <w:rPr>
          <w:rFonts w:hint="eastAsia" w:ascii="宋体" w:hAnsi="宋体"/>
          <w:szCs w:val="21"/>
        </w:rPr>
        <w:t>3、项目实施范围：渝新公司及下属子、分公司，详见《高清视频会议系统技术规格书》。</w:t>
      </w:r>
    </w:p>
    <w:p>
      <w:pPr>
        <w:ind w:firstLine="420" w:firstLineChars="200"/>
        <w:rPr>
          <w:rFonts w:ascii="宋体" w:hAnsi="宋体"/>
          <w:szCs w:val="21"/>
        </w:rPr>
      </w:pPr>
      <w:r>
        <w:rPr>
          <w:rFonts w:hint="eastAsia" w:ascii="宋体" w:hAnsi="宋体"/>
          <w:szCs w:val="21"/>
        </w:rPr>
        <w:t>4、项目实施时间：2018年8月28日前完成供货、安装、调试、培训等工作。</w:t>
      </w:r>
    </w:p>
    <w:p>
      <w:pPr>
        <w:ind w:firstLine="422" w:firstLineChars="200"/>
        <w:rPr>
          <w:rFonts w:ascii="宋体" w:hAnsi="宋体"/>
          <w:szCs w:val="21"/>
        </w:rPr>
      </w:pPr>
      <w:r>
        <w:rPr>
          <w:rFonts w:hint="eastAsia" w:ascii="宋体" w:hAnsi="宋体"/>
          <w:b/>
          <w:color w:val="000000"/>
        </w:rPr>
        <w:t>二</w:t>
      </w:r>
      <w:r>
        <w:rPr>
          <w:rFonts w:hint="eastAsia" w:ascii="宋体" w:hAnsi="宋体"/>
          <w:b/>
        </w:rPr>
        <w:t>、比选采购范围:</w:t>
      </w:r>
      <w:r>
        <w:rPr>
          <w:rFonts w:hint="eastAsia" w:ascii="宋体" w:hAnsi="宋体"/>
          <w:szCs w:val="21"/>
        </w:rPr>
        <w:t xml:space="preserve"> 重庆能投渝新能源有限公司高清高清视频会议系统，具体详见《高清视频会议系统技术规格书》。《高清视频会议系统技术规格书》未列明，但属使项目正常运转所需的设备、材料，由参选人免费提供。</w:t>
      </w:r>
    </w:p>
    <w:p>
      <w:pPr>
        <w:ind w:firstLine="422" w:firstLineChars="200"/>
        <w:rPr>
          <w:rFonts w:ascii="宋体" w:hAnsi="宋体"/>
          <w:szCs w:val="21"/>
        </w:rPr>
      </w:pPr>
      <w:r>
        <w:rPr>
          <w:rFonts w:hint="eastAsia" w:ascii="宋体" w:hAnsi="宋体"/>
          <w:b/>
          <w:color w:val="000000"/>
        </w:rPr>
        <w:t>三、比选地</w:t>
      </w:r>
      <w:r>
        <w:rPr>
          <w:rFonts w:hint="eastAsia" w:ascii="宋体" w:hAnsi="宋体"/>
          <w:szCs w:val="21"/>
        </w:rPr>
        <w:t>点：南岸区南滨路162号能大厦1307办公室。</w:t>
      </w:r>
    </w:p>
    <w:p>
      <w:pPr>
        <w:ind w:firstLine="270" w:firstLineChars="128"/>
        <w:jc w:val="left"/>
        <w:rPr>
          <w:rFonts w:ascii="宋体"/>
          <w:color w:val="000000"/>
          <w:sz w:val="28"/>
          <w:szCs w:val="28"/>
        </w:rPr>
      </w:pPr>
      <w:r>
        <w:rPr>
          <w:rFonts w:hint="eastAsia" w:ascii="宋体" w:hAnsi="宋体"/>
          <w:b/>
          <w:color w:val="000000"/>
        </w:rPr>
        <w:t>四、</w:t>
      </w:r>
      <w:r>
        <w:rPr>
          <w:rFonts w:hint="eastAsia"/>
          <w:b/>
          <w:color w:val="000000"/>
        </w:rPr>
        <w:t>资料获取：请参选人于</w:t>
      </w:r>
      <w:r>
        <w:rPr>
          <w:rFonts w:hint="eastAsia" w:ascii="宋体" w:hAnsi="宋体"/>
          <w:szCs w:val="21"/>
        </w:rPr>
        <w:t>2018年7月31日到重庆南岸区南滨路162号能源大厦1307室</w:t>
      </w:r>
      <w:r>
        <w:rPr>
          <w:rFonts w:hint="eastAsia"/>
          <w:b/>
          <w:color w:val="000000"/>
        </w:rPr>
        <w:t>处领取，或登录重庆能投渝新能源有限公司电子商务采购平台（网址</w:t>
      </w:r>
      <w:r>
        <w:rPr>
          <w:b/>
          <w:color w:val="000000"/>
        </w:rPr>
        <w:t>http://yxny.51ygcg.com/</w:t>
      </w:r>
      <w:r>
        <w:rPr>
          <w:rFonts w:hint="eastAsia"/>
          <w:b/>
          <w:color w:val="000000"/>
        </w:rPr>
        <w:t>）下载。</w:t>
      </w:r>
    </w:p>
    <w:p>
      <w:pPr>
        <w:ind w:firstLine="422" w:firstLineChars="200"/>
        <w:rPr>
          <w:rFonts w:ascii="宋体" w:hAnsi="宋体"/>
          <w:b/>
          <w:color w:val="000000"/>
          <w:szCs w:val="21"/>
        </w:rPr>
      </w:pPr>
      <w:r>
        <w:rPr>
          <w:rFonts w:hint="eastAsia" w:ascii="宋体" w:hAnsi="宋体"/>
          <w:b/>
          <w:color w:val="000000"/>
        </w:rPr>
        <w:t>五、费用缴纳：</w:t>
      </w:r>
      <w:r>
        <w:rPr>
          <w:rFonts w:hint="eastAsia" w:ascii="宋体" w:hAnsi="宋体"/>
          <w:b/>
          <w:color w:val="000000"/>
          <w:szCs w:val="21"/>
        </w:rPr>
        <w:t>参选保证金：人民币3.00万元（大写：</w:t>
      </w:r>
      <w:r>
        <w:rPr>
          <w:rFonts w:hint="eastAsia" w:ascii="宋体" w:hAnsi="宋体"/>
          <w:b/>
          <w:color w:val="000000"/>
          <w:szCs w:val="21"/>
          <w:lang w:val="en-US" w:eastAsia="zh-CN"/>
        </w:rPr>
        <w:t>叁</w:t>
      </w:r>
      <w:r>
        <w:rPr>
          <w:rFonts w:hint="eastAsia" w:ascii="宋体" w:hAnsi="宋体"/>
          <w:b/>
          <w:color w:val="000000"/>
          <w:szCs w:val="21"/>
        </w:rPr>
        <w:t>万元）。</w:t>
      </w:r>
      <w:bookmarkStart w:id="3" w:name="_GoBack"/>
      <w:bookmarkEnd w:id="3"/>
    </w:p>
    <w:p>
      <w:pPr>
        <w:ind w:firstLine="420" w:firstLineChars="200"/>
        <w:rPr>
          <w:rFonts w:ascii="宋体" w:hAnsi="宋体"/>
          <w:szCs w:val="21"/>
        </w:rPr>
      </w:pPr>
      <w:r>
        <w:rPr>
          <w:rFonts w:hint="eastAsia" w:ascii="宋体" w:hAnsi="宋体"/>
          <w:szCs w:val="21"/>
        </w:rPr>
        <w:t>请参选人根据本《比选文件》要求于2018年7月31日前将参选保证金通过其单位账户汇至以下帐户：</w:t>
      </w:r>
    </w:p>
    <w:p>
      <w:pPr>
        <w:ind w:firstLine="420" w:firstLineChars="200"/>
        <w:rPr>
          <w:rFonts w:ascii="宋体" w:hAnsi="宋体"/>
          <w:szCs w:val="21"/>
        </w:rPr>
      </w:pPr>
      <w:r>
        <w:rPr>
          <w:rFonts w:hint="eastAsia" w:ascii="宋体" w:hAnsi="宋体"/>
          <w:szCs w:val="21"/>
        </w:rPr>
        <w:t>单名名称：重庆能投渝新能源有限公司。</w:t>
      </w:r>
    </w:p>
    <w:p>
      <w:pPr>
        <w:ind w:firstLine="420" w:firstLineChars="200"/>
        <w:rPr>
          <w:rFonts w:ascii="宋体" w:hAnsi="宋体"/>
          <w:szCs w:val="21"/>
        </w:rPr>
      </w:pPr>
      <w:r>
        <w:rPr>
          <w:rFonts w:hint="eastAsia" w:ascii="宋体" w:hAnsi="宋体"/>
          <w:szCs w:val="21"/>
        </w:rPr>
        <w:t>开户行：中国农业银行股份有限公司重庆南岸滨江支行。</w:t>
      </w:r>
    </w:p>
    <w:p>
      <w:pPr>
        <w:ind w:firstLine="420" w:firstLineChars="200"/>
        <w:rPr>
          <w:rFonts w:ascii="宋体" w:hAnsi="宋体"/>
          <w:szCs w:val="21"/>
        </w:rPr>
      </w:pPr>
      <w:r>
        <w:rPr>
          <w:rFonts w:hint="eastAsia" w:ascii="宋体" w:hAnsi="宋体"/>
          <w:szCs w:val="21"/>
        </w:rPr>
        <w:t>帐号：31060401040009067。</w:t>
      </w:r>
    </w:p>
    <w:p>
      <w:pPr>
        <w:ind w:firstLine="420" w:firstLineChars="200"/>
        <w:rPr>
          <w:rFonts w:ascii="宋体" w:hAnsi="宋体"/>
          <w:szCs w:val="21"/>
        </w:rPr>
      </w:pPr>
      <w:r>
        <w:rPr>
          <w:rFonts w:hint="eastAsia" w:ascii="宋体" w:hAnsi="宋体"/>
          <w:szCs w:val="21"/>
        </w:rPr>
        <w:t>各参选人在银行转账（电汇）时，须充分考虑银行转账（电汇）的时间差风险，如同城转账、异地转账或汇款、跨行转账或电汇的时间要求。</w:t>
      </w:r>
    </w:p>
    <w:p>
      <w:pPr>
        <w:ind w:firstLine="420" w:firstLineChars="200"/>
        <w:rPr>
          <w:rFonts w:ascii="宋体" w:hAnsi="宋体"/>
          <w:szCs w:val="21"/>
        </w:rPr>
      </w:pPr>
      <w:r>
        <w:rPr>
          <w:rFonts w:hint="eastAsia" w:ascii="宋体" w:hAnsi="宋体"/>
          <w:szCs w:val="21"/>
        </w:rPr>
        <w:t>参选保证金在中选人签订合同后5个工作日内全额退还至参选人来款账户，但放弃中选或违规中选等按相关规定不予退还。</w:t>
      </w:r>
    </w:p>
    <w:p>
      <w:pPr>
        <w:ind w:firstLine="422" w:firstLineChars="200"/>
        <w:rPr>
          <w:rFonts w:ascii="宋体" w:hAnsi="宋体"/>
          <w:szCs w:val="21"/>
        </w:rPr>
      </w:pPr>
      <w:r>
        <w:rPr>
          <w:rFonts w:hint="eastAsia" w:ascii="宋体" w:hAnsi="宋体"/>
          <w:b/>
          <w:szCs w:val="21"/>
        </w:rPr>
        <w:t>六、比选费用：</w:t>
      </w:r>
      <w:r>
        <w:rPr>
          <w:rFonts w:hint="eastAsia" w:ascii="宋体" w:hAnsi="宋体"/>
          <w:szCs w:val="21"/>
        </w:rPr>
        <w:t>无论比选结果如何，参选人参与本项目比选的所有费用均应由邀请人自行承担。</w:t>
      </w:r>
    </w:p>
    <w:p>
      <w:pPr>
        <w:ind w:firstLine="422" w:firstLineChars="200"/>
        <w:rPr>
          <w:rFonts w:ascii="宋体" w:hAnsi="宋体"/>
          <w:b/>
          <w:szCs w:val="21"/>
        </w:rPr>
      </w:pPr>
      <w:r>
        <w:rPr>
          <w:rFonts w:hint="eastAsia" w:ascii="宋体" w:hAnsi="宋体"/>
          <w:b/>
          <w:szCs w:val="21"/>
        </w:rPr>
        <w:t>七、资质要求。邀请人必须具备以下条件方能参与此次竞争性比选：</w:t>
      </w:r>
    </w:p>
    <w:p>
      <w:pPr>
        <w:ind w:firstLine="420" w:firstLineChars="200"/>
        <w:rPr>
          <w:rFonts w:ascii="宋体" w:hAnsi="宋体"/>
          <w:szCs w:val="21"/>
        </w:rPr>
      </w:pPr>
      <w:bookmarkStart w:id="0" w:name="OLE_LINK4"/>
      <w:bookmarkStart w:id="1" w:name="OLE_LINK1"/>
      <w:r>
        <w:rPr>
          <w:rFonts w:hint="eastAsia" w:ascii="宋体" w:hAnsi="宋体"/>
          <w:szCs w:val="21"/>
        </w:rPr>
        <w:t>1、注册资本金应达到人民币500万元。</w:t>
      </w:r>
    </w:p>
    <w:bookmarkEnd w:id="0"/>
    <w:p>
      <w:pPr>
        <w:ind w:firstLine="420" w:firstLineChars="200"/>
        <w:rPr>
          <w:rFonts w:ascii="宋体" w:hAnsi="宋体"/>
          <w:szCs w:val="21"/>
        </w:rPr>
      </w:pPr>
      <w:r>
        <w:rPr>
          <w:rFonts w:hint="eastAsia" w:ascii="宋体" w:hAnsi="宋体"/>
          <w:szCs w:val="21"/>
        </w:rPr>
        <w:t>2、经营范围内具备计算机软硬件或电子产品开发、销售及技术服务的相关内容，2016年至今销售及安装高清视频会议系统业务3项及以上，有能力履行合同，提供设备维护保养、修理及其他服务义务。</w:t>
      </w:r>
    </w:p>
    <w:p>
      <w:pPr>
        <w:ind w:firstLine="420" w:firstLineChars="200"/>
        <w:rPr>
          <w:rFonts w:ascii="宋体" w:hAnsi="宋体"/>
          <w:szCs w:val="21"/>
        </w:rPr>
      </w:pPr>
      <w:r>
        <w:rPr>
          <w:rFonts w:hint="eastAsia" w:ascii="宋体" w:hAnsi="宋体"/>
          <w:szCs w:val="21"/>
        </w:rPr>
        <w:t>3、如受代理商（经销商）参选，需提供设备生产商关于承担产品质量保证期内和质量保证期满后售后服务责任的承诺书</w:t>
      </w:r>
      <w:bookmarkEnd w:id="1"/>
      <w:r>
        <w:rPr>
          <w:rFonts w:hint="eastAsia" w:ascii="宋体" w:hAnsi="宋体"/>
          <w:szCs w:val="21"/>
        </w:rPr>
        <w:t>和项目授权书。</w:t>
      </w:r>
    </w:p>
    <w:p>
      <w:pPr>
        <w:ind w:firstLine="527" w:firstLineChars="250"/>
        <w:rPr>
          <w:rFonts w:ascii="宋体" w:hAnsi="宋体"/>
          <w:szCs w:val="21"/>
        </w:rPr>
      </w:pPr>
      <w:r>
        <w:rPr>
          <w:rFonts w:hint="eastAsia" w:ascii="宋体" w:hAnsi="宋体"/>
          <w:b/>
          <w:szCs w:val="21"/>
        </w:rPr>
        <w:t>八、参选文件递交截止时间：</w:t>
      </w:r>
      <w:r>
        <w:rPr>
          <w:rFonts w:hint="eastAsia" w:ascii="宋体" w:hAnsi="宋体"/>
          <w:szCs w:val="21"/>
        </w:rPr>
        <w:t>2018年7月</w:t>
      </w:r>
      <w:r>
        <w:rPr>
          <w:rFonts w:hint="eastAsia" w:ascii="宋体" w:hAnsi="宋体"/>
          <w:color w:val="000000"/>
          <w:szCs w:val="21"/>
        </w:rPr>
        <w:t>31日9：30时 (北京时间)</w:t>
      </w:r>
      <w:r>
        <w:rPr>
          <w:rFonts w:hint="eastAsia" w:ascii="宋体" w:hAnsi="宋体"/>
          <w:szCs w:val="21"/>
        </w:rPr>
        <w:t>，逾期不予受理。</w:t>
      </w:r>
    </w:p>
    <w:p>
      <w:pPr>
        <w:ind w:firstLine="422" w:firstLineChars="200"/>
        <w:rPr>
          <w:rFonts w:ascii="宋体" w:hAnsi="宋体"/>
          <w:szCs w:val="21"/>
        </w:rPr>
      </w:pPr>
      <w:r>
        <w:rPr>
          <w:rFonts w:hint="eastAsia" w:ascii="宋体" w:hAnsi="宋体"/>
          <w:b/>
          <w:szCs w:val="21"/>
        </w:rPr>
        <w:t>九、参选文件递交地点:</w:t>
      </w:r>
      <w:r>
        <w:rPr>
          <w:rFonts w:hint="eastAsia" w:ascii="宋体" w:hAnsi="宋体"/>
          <w:szCs w:val="21"/>
        </w:rPr>
        <w:t>参选人将参选文件递交到重庆南岸区南滨路162号能源大厦1307室。联系人：冉景贤15086651348）。</w:t>
      </w:r>
    </w:p>
    <w:p>
      <w:pPr>
        <w:ind w:firstLine="422" w:firstLineChars="200"/>
        <w:rPr>
          <w:rFonts w:ascii="宋体" w:hAnsi="宋体"/>
          <w:b/>
          <w:szCs w:val="21"/>
        </w:rPr>
      </w:pPr>
      <w:r>
        <w:rPr>
          <w:rFonts w:hint="eastAsia" w:ascii="宋体" w:hAnsi="宋体"/>
          <w:b/>
          <w:szCs w:val="21"/>
        </w:rPr>
        <w:t>十、最高限价：</w:t>
      </w:r>
    </w:p>
    <w:p>
      <w:pPr>
        <w:ind w:firstLine="422" w:firstLineChars="200"/>
        <w:rPr>
          <w:rFonts w:ascii="宋体" w:hAnsi="宋体"/>
          <w:b/>
          <w:szCs w:val="21"/>
        </w:rPr>
      </w:pPr>
      <w:r>
        <w:rPr>
          <w:rFonts w:hint="eastAsia" w:ascii="宋体" w:hAnsi="宋体"/>
          <w:b/>
          <w:szCs w:val="21"/>
        </w:rPr>
        <w:t>本比选项目设置最高限价：260万元，含税。超过最高限价的比选资料将被拒绝。</w:t>
      </w:r>
    </w:p>
    <w:p>
      <w:pPr>
        <w:ind w:firstLine="422" w:firstLineChars="200"/>
        <w:rPr>
          <w:rFonts w:ascii="宋体" w:hAnsi="宋体"/>
          <w:szCs w:val="21"/>
        </w:rPr>
      </w:pPr>
      <w:r>
        <w:rPr>
          <w:rFonts w:hint="eastAsia" w:ascii="宋体" w:hAnsi="宋体"/>
          <w:b/>
          <w:szCs w:val="21"/>
        </w:rPr>
        <w:t>十一、竞争性比选时间：</w:t>
      </w:r>
      <w:r>
        <w:rPr>
          <w:rFonts w:hint="eastAsia" w:ascii="宋体" w:hAnsi="宋体"/>
          <w:color w:val="000000"/>
          <w:szCs w:val="21"/>
        </w:rPr>
        <w:t>竞争性比选时间同参选文件递交的截止时间。</w:t>
      </w:r>
    </w:p>
    <w:p>
      <w:pPr>
        <w:ind w:firstLine="1054" w:firstLineChars="500"/>
        <w:rPr>
          <w:rFonts w:ascii="宋体" w:hAnsi="宋体"/>
          <w:szCs w:val="21"/>
        </w:rPr>
      </w:pPr>
      <w:r>
        <w:rPr>
          <w:rFonts w:hint="eastAsia" w:ascii="宋体" w:hAnsi="宋体"/>
          <w:b/>
          <w:szCs w:val="21"/>
        </w:rPr>
        <w:t>竞争性比选地点：</w:t>
      </w:r>
      <w:r>
        <w:rPr>
          <w:rFonts w:hint="eastAsia" w:ascii="宋体" w:hAnsi="宋体"/>
          <w:szCs w:val="21"/>
        </w:rPr>
        <w:t>同参选文件递交地点。</w:t>
      </w:r>
    </w:p>
    <w:p>
      <w:pPr>
        <w:ind w:firstLine="422" w:firstLineChars="200"/>
        <w:rPr>
          <w:rFonts w:ascii="宋体" w:hAnsi="宋体"/>
          <w:b/>
        </w:rPr>
      </w:pPr>
      <w:r>
        <w:rPr>
          <w:rFonts w:hint="eastAsia" w:ascii="宋体" w:hAnsi="宋体"/>
          <w:b/>
        </w:rPr>
        <w:t>十二、联系方式：</w:t>
      </w:r>
    </w:p>
    <w:p>
      <w:pPr>
        <w:ind w:firstLine="420" w:firstLineChars="200"/>
        <w:rPr>
          <w:rFonts w:ascii="宋体" w:hAnsi="宋体"/>
        </w:rPr>
      </w:pPr>
      <w:r>
        <w:rPr>
          <w:rFonts w:hint="eastAsia" w:ascii="宋体" w:hAnsi="宋体"/>
        </w:rPr>
        <w:t>冉景贤  电话：023-62512289   15086651348</w:t>
      </w:r>
    </w:p>
    <w:p>
      <w:pPr>
        <w:spacing w:line="440" w:lineRule="exact"/>
        <w:ind w:firstLine="6085" w:firstLineChars="2898"/>
        <w:rPr>
          <w:rFonts w:ascii="宋体" w:hAnsi="宋体"/>
          <w:bCs/>
          <w:szCs w:val="21"/>
        </w:rPr>
      </w:pPr>
      <w:r>
        <w:rPr>
          <w:rFonts w:hint="eastAsia" w:ascii="宋体" w:hAnsi="宋体"/>
          <w:bCs/>
          <w:szCs w:val="21"/>
        </w:rPr>
        <w:t>重庆能投渝新能源有限公司</w:t>
      </w:r>
    </w:p>
    <w:p>
      <w:pPr>
        <w:spacing w:line="440" w:lineRule="exact"/>
        <w:ind w:firstLine="6615" w:firstLineChars="3150"/>
        <w:rPr>
          <w:rFonts w:ascii="宋体" w:hAnsi="宋体"/>
          <w:bCs/>
          <w:szCs w:val="21"/>
        </w:rPr>
      </w:pPr>
      <w:r>
        <w:rPr>
          <w:rFonts w:hint="eastAsia" w:ascii="宋体" w:hAnsi="宋体"/>
          <w:bCs/>
          <w:szCs w:val="21"/>
        </w:rPr>
        <w:t>2018年7月23日</w:t>
      </w:r>
    </w:p>
    <w:p>
      <w:pPr>
        <w:ind w:firstLine="2705" w:firstLineChars="898"/>
        <w:rPr>
          <w:rFonts w:ascii="黑体" w:hAnsi="宋体" w:eastAsia="黑体"/>
          <w:b/>
          <w:bCs/>
          <w:sz w:val="30"/>
          <w:szCs w:val="36"/>
        </w:rPr>
      </w:pPr>
      <w:r>
        <w:rPr>
          <w:rFonts w:hint="eastAsia" w:ascii="黑体" w:hAnsi="宋体" w:eastAsia="黑体"/>
          <w:b/>
          <w:bCs/>
          <w:sz w:val="30"/>
          <w:szCs w:val="36"/>
        </w:rPr>
        <w:t>第二部份　参选须知</w:t>
      </w:r>
    </w:p>
    <w:p>
      <w:pPr>
        <w:rPr>
          <w:rFonts w:ascii="黑体" w:hAnsi="宋体" w:eastAsia="黑体"/>
          <w:b/>
          <w:bCs/>
          <w:sz w:val="24"/>
        </w:rPr>
      </w:pPr>
      <w:r>
        <w:rPr>
          <w:rFonts w:hint="eastAsia" w:ascii="黑体" w:hAnsi="宋体" w:eastAsia="黑体"/>
          <w:b/>
          <w:bCs/>
          <w:sz w:val="24"/>
        </w:rPr>
        <w:t>一、说明应</w:t>
      </w:r>
    </w:p>
    <w:p>
      <w:pPr>
        <w:ind w:firstLine="422" w:firstLineChars="200"/>
        <w:rPr>
          <w:rFonts w:ascii="宋体" w:hAnsi="宋体"/>
          <w:b/>
          <w:bCs/>
        </w:rPr>
      </w:pPr>
      <w:r>
        <w:rPr>
          <w:rFonts w:hint="eastAsia" w:ascii="宋体" w:hAnsi="宋体"/>
          <w:b/>
          <w:bCs/>
        </w:rPr>
        <w:t>1.适用范围</w:t>
      </w:r>
    </w:p>
    <w:p>
      <w:pPr>
        <w:ind w:firstLine="420" w:firstLineChars="200"/>
        <w:rPr>
          <w:rFonts w:ascii="宋体" w:hAnsi="宋体"/>
          <w:szCs w:val="21"/>
        </w:rPr>
      </w:pPr>
      <w:r>
        <w:rPr>
          <w:rFonts w:hint="eastAsia" w:ascii="宋体" w:hAnsi="宋体"/>
        </w:rPr>
        <w:t>本竞争性比选文件仅适用于本次竞争性比选邀请中所叙述的</w:t>
      </w:r>
      <w:r>
        <w:rPr>
          <w:rFonts w:hint="eastAsia" w:ascii="宋体" w:hAnsi="宋体"/>
          <w:szCs w:val="21"/>
        </w:rPr>
        <w:t>重庆能投渝新能源有限公司高清高清视频会议系统采购。</w:t>
      </w:r>
    </w:p>
    <w:p>
      <w:pPr>
        <w:ind w:firstLine="422" w:firstLineChars="200"/>
        <w:rPr>
          <w:rFonts w:ascii="宋体" w:hAnsi="宋体"/>
          <w:b/>
          <w:bCs/>
        </w:rPr>
      </w:pPr>
      <w:r>
        <w:rPr>
          <w:rFonts w:hint="eastAsia" w:ascii="宋体" w:hAnsi="宋体"/>
          <w:b/>
          <w:bCs/>
        </w:rPr>
        <w:t>2.定义</w:t>
      </w:r>
    </w:p>
    <w:p>
      <w:pPr>
        <w:ind w:firstLine="420" w:firstLineChars="200"/>
        <w:rPr>
          <w:rFonts w:ascii="宋体" w:hAnsi="宋体"/>
        </w:rPr>
      </w:pPr>
      <w:r>
        <w:rPr>
          <w:rFonts w:hint="eastAsia" w:ascii="宋体" w:hAnsi="宋体"/>
        </w:rPr>
        <w:t>竞争性比选文件中下列术语应解释为：</w:t>
      </w:r>
    </w:p>
    <w:p>
      <w:pPr>
        <w:ind w:firstLine="420" w:firstLineChars="200"/>
        <w:rPr>
          <w:rFonts w:ascii="宋体" w:hAnsi="宋体"/>
          <w:color w:val="000000"/>
          <w:szCs w:val="21"/>
        </w:rPr>
      </w:pPr>
      <w:r>
        <w:rPr>
          <w:rFonts w:hint="eastAsia" w:ascii="宋体" w:hAnsi="宋体"/>
        </w:rPr>
        <w:t>2.1</w:t>
      </w:r>
      <w:r>
        <w:rPr>
          <w:rFonts w:hint="eastAsia" w:ascii="宋体" w:hAnsi="宋体"/>
          <w:szCs w:val="21"/>
        </w:rPr>
        <w:t>参选人：</w:t>
      </w:r>
      <w:r>
        <w:rPr>
          <w:rFonts w:hint="eastAsia" w:ascii="宋体" w:hAnsi="宋体"/>
          <w:color w:val="000000"/>
          <w:szCs w:val="21"/>
        </w:rPr>
        <w:t>是指参与本项目竞争性比选的单位。</w:t>
      </w:r>
    </w:p>
    <w:p>
      <w:pPr>
        <w:ind w:firstLine="420" w:firstLineChars="200"/>
        <w:rPr>
          <w:rFonts w:ascii="宋体" w:hAnsi="宋体"/>
          <w:color w:val="000000"/>
          <w:szCs w:val="21"/>
        </w:rPr>
      </w:pPr>
      <w:r>
        <w:rPr>
          <w:rFonts w:hint="eastAsia" w:ascii="宋体" w:hAnsi="宋体"/>
          <w:color w:val="000000"/>
          <w:szCs w:val="21"/>
        </w:rPr>
        <w:t>2.2中选人：是指通过竞争性比选最终被</w:t>
      </w:r>
      <w:r>
        <w:rPr>
          <w:rFonts w:hint="eastAsia" w:ascii="宋体" w:hAnsi="宋体"/>
        </w:rPr>
        <w:t>重庆能投渝新能源有限公司</w:t>
      </w:r>
      <w:r>
        <w:rPr>
          <w:rFonts w:hint="eastAsia" w:ascii="宋体" w:hAnsi="宋体"/>
          <w:color w:val="000000"/>
          <w:szCs w:val="21"/>
        </w:rPr>
        <w:t>确定为</w:t>
      </w:r>
      <w:r>
        <w:rPr>
          <w:rFonts w:hint="eastAsia" w:ascii="宋体" w:hAnsi="宋体"/>
          <w:szCs w:val="21"/>
        </w:rPr>
        <w:t>重庆能投渝新能源有限公司高清高清视频会议系统提供者的单位</w:t>
      </w:r>
      <w:r>
        <w:rPr>
          <w:rFonts w:hint="eastAsia" w:ascii="宋体" w:hAnsi="宋体"/>
          <w:color w:val="000000"/>
          <w:szCs w:val="21"/>
        </w:rPr>
        <w:t>。</w:t>
      </w:r>
    </w:p>
    <w:p>
      <w:pPr>
        <w:ind w:firstLine="420" w:firstLineChars="200"/>
        <w:rPr>
          <w:rFonts w:ascii="宋体" w:hAnsi="宋体"/>
          <w:color w:val="000000"/>
          <w:szCs w:val="21"/>
        </w:rPr>
      </w:pPr>
      <w:r>
        <w:rPr>
          <w:rFonts w:hint="eastAsia" w:ascii="宋体" w:hAnsi="宋体"/>
          <w:color w:val="000000"/>
          <w:szCs w:val="21"/>
        </w:rPr>
        <w:t>2.3邀请人：是指邀请参选人参与本项目竞争性比选的单位，即渝新公司。</w:t>
      </w:r>
    </w:p>
    <w:p>
      <w:pPr>
        <w:ind w:firstLine="420" w:firstLineChars="200"/>
        <w:rPr>
          <w:rFonts w:ascii="宋体" w:hAnsi="宋体"/>
          <w:color w:val="000000"/>
          <w:szCs w:val="21"/>
        </w:rPr>
      </w:pPr>
      <w:r>
        <w:rPr>
          <w:rFonts w:hint="eastAsia" w:ascii="宋体" w:hAnsi="宋体"/>
          <w:color w:val="000000"/>
          <w:szCs w:val="21"/>
        </w:rPr>
        <w:t>2.4参选：是指参加竞争性比选活动。</w:t>
      </w:r>
    </w:p>
    <w:p>
      <w:pPr>
        <w:ind w:firstLine="420" w:firstLineChars="200"/>
        <w:rPr>
          <w:rFonts w:ascii="宋体" w:hAnsi="宋体"/>
          <w:szCs w:val="21"/>
        </w:rPr>
      </w:pPr>
      <w:r>
        <w:rPr>
          <w:rFonts w:hint="eastAsia" w:ascii="宋体" w:hAnsi="宋体"/>
          <w:szCs w:val="21"/>
        </w:rPr>
        <w:t>2.5参选保证金：是指邀请人为防止参选人中选后不按时，或不按要求缴纳履约保证金，可不按要求签订合同等而要求参选人缴纳的金额。</w:t>
      </w:r>
      <w:r>
        <w:rPr>
          <w:rFonts w:hint="eastAsia" w:ascii="宋体" w:hAnsi="宋体"/>
          <w:b/>
          <w:szCs w:val="21"/>
        </w:rPr>
        <w:t>如中选人不按时，或不按要求缴纳履约保证金，或，不按要求签订合同等，视为放弃中选，不退还参选保证金。如参选人串通损害邀请人利益，竞争性比选无效，同时不退还参选保证金。</w:t>
      </w:r>
    </w:p>
    <w:p>
      <w:pPr>
        <w:ind w:firstLine="420" w:firstLineChars="200"/>
        <w:rPr>
          <w:rFonts w:ascii="宋体" w:hAnsi="宋体"/>
          <w:color w:val="FF0000"/>
          <w:szCs w:val="21"/>
        </w:rPr>
      </w:pPr>
      <w:r>
        <w:rPr>
          <w:rFonts w:hint="eastAsia" w:ascii="宋体" w:hAnsi="宋体"/>
          <w:szCs w:val="21"/>
        </w:rPr>
        <w:t>2.6参选文件：是指参选人按本竞争性比选文件要求编制的相关资料。</w:t>
      </w:r>
    </w:p>
    <w:p>
      <w:pPr>
        <w:ind w:firstLine="422" w:firstLineChars="200"/>
        <w:rPr>
          <w:rFonts w:ascii="宋体" w:hAnsi="宋体"/>
          <w:b/>
          <w:bCs/>
        </w:rPr>
      </w:pPr>
      <w:r>
        <w:rPr>
          <w:rFonts w:hint="eastAsia" w:ascii="宋体" w:hAnsi="宋体"/>
          <w:b/>
          <w:bCs/>
        </w:rPr>
        <w:t>3.合格的参选人</w:t>
      </w:r>
    </w:p>
    <w:p>
      <w:pPr>
        <w:ind w:firstLine="420" w:firstLineChars="200"/>
        <w:rPr>
          <w:rFonts w:ascii="宋体" w:hAnsi="宋体"/>
        </w:rPr>
      </w:pPr>
      <w:r>
        <w:rPr>
          <w:rFonts w:hint="eastAsia" w:ascii="宋体" w:hAnsi="宋体"/>
        </w:rPr>
        <w:t>3.1接受邀请人邀请，通过了资质审查的参选人。</w:t>
      </w:r>
    </w:p>
    <w:p>
      <w:pPr>
        <w:ind w:firstLine="420" w:firstLineChars="200"/>
        <w:rPr>
          <w:rFonts w:ascii="宋体" w:hAnsi="宋体"/>
        </w:rPr>
      </w:pPr>
      <w:r>
        <w:rPr>
          <w:rFonts w:hint="eastAsia" w:ascii="宋体" w:hAnsi="宋体"/>
        </w:rPr>
        <w:t>3.2非联合体参选人。</w:t>
      </w:r>
    </w:p>
    <w:p>
      <w:pPr>
        <w:ind w:firstLine="422" w:firstLineChars="200"/>
        <w:rPr>
          <w:rFonts w:ascii="宋体" w:hAnsi="宋体"/>
          <w:b/>
          <w:bCs/>
        </w:rPr>
      </w:pPr>
      <w:r>
        <w:rPr>
          <w:rFonts w:hint="eastAsia" w:ascii="宋体" w:hAnsi="宋体"/>
          <w:b/>
          <w:bCs/>
        </w:rPr>
        <w:t>4.参选费用</w:t>
      </w:r>
    </w:p>
    <w:p>
      <w:pPr>
        <w:ind w:firstLine="420" w:firstLineChars="200"/>
        <w:rPr>
          <w:rFonts w:ascii="宋体" w:hAnsi="宋体"/>
          <w:szCs w:val="21"/>
        </w:rPr>
      </w:pPr>
      <w:r>
        <w:rPr>
          <w:rFonts w:hint="eastAsia" w:ascii="宋体" w:hAnsi="宋体"/>
          <w:szCs w:val="21"/>
        </w:rPr>
        <w:t>无论比选结果如何，参选人参与本项目比选的所有费用均应由</w:t>
      </w:r>
      <w:r>
        <w:rPr>
          <w:rFonts w:hint="eastAsia" w:ascii="宋体" w:hAnsi="宋体"/>
          <w:color w:val="FF0000"/>
          <w:szCs w:val="21"/>
        </w:rPr>
        <w:t>参</w:t>
      </w:r>
      <w:r>
        <w:rPr>
          <w:rFonts w:hint="eastAsia" w:ascii="宋体" w:hAnsi="宋体"/>
          <w:szCs w:val="21"/>
        </w:rPr>
        <w:t>选人自行承担。</w:t>
      </w:r>
    </w:p>
    <w:p>
      <w:pPr>
        <w:rPr>
          <w:rFonts w:ascii="黑体" w:hAnsi="宋体" w:eastAsia="黑体"/>
          <w:b/>
          <w:bCs/>
          <w:sz w:val="24"/>
        </w:rPr>
      </w:pPr>
      <w:r>
        <w:rPr>
          <w:rFonts w:hint="eastAsia" w:ascii="黑体" w:hAnsi="宋体" w:eastAsia="黑体"/>
          <w:b/>
          <w:bCs/>
          <w:sz w:val="24"/>
        </w:rPr>
        <w:t>二、</w:t>
      </w:r>
      <w:r>
        <w:rPr>
          <w:rFonts w:hint="eastAsia" w:ascii="黑体" w:hAnsi="宋体" w:eastAsia="黑体"/>
          <w:b/>
          <w:sz w:val="24"/>
        </w:rPr>
        <w:t>竞争性比选文件</w:t>
      </w:r>
    </w:p>
    <w:p>
      <w:pPr>
        <w:ind w:firstLine="422" w:firstLineChars="200"/>
        <w:rPr>
          <w:rFonts w:ascii="宋体" w:hAnsi="宋体"/>
          <w:b/>
          <w:bCs/>
        </w:rPr>
      </w:pPr>
      <w:r>
        <w:rPr>
          <w:rFonts w:hint="eastAsia" w:ascii="宋体" w:hAnsi="宋体"/>
          <w:b/>
          <w:bCs/>
        </w:rPr>
        <w:t>5.</w:t>
      </w:r>
      <w:r>
        <w:rPr>
          <w:rFonts w:hint="eastAsia" w:ascii="宋体" w:hAnsi="宋体"/>
        </w:rPr>
        <w:t xml:space="preserve"> 竞争性比选文件</w:t>
      </w:r>
    </w:p>
    <w:p>
      <w:pPr>
        <w:ind w:firstLine="420" w:firstLineChars="200"/>
        <w:rPr>
          <w:rFonts w:ascii="宋体" w:hAnsi="宋体"/>
        </w:rPr>
      </w:pPr>
      <w:r>
        <w:rPr>
          <w:rFonts w:hint="eastAsia" w:ascii="宋体" w:hAnsi="宋体"/>
        </w:rPr>
        <w:t>5.1竞争性比选文件用以阐明所需资质、竞争性比选程序、评选标准及方法和合同主要条款。竞争性比选文件由以下部分组成：具体内容详见附后内容。</w:t>
      </w:r>
    </w:p>
    <w:p>
      <w:pPr>
        <w:ind w:firstLine="420" w:firstLineChars="200"/>
        <w:rPr>
          <w:rFonts w:ascii="宋体" w:hAnsi="宋体"/>
        </w:rPr>
      </w:pPr>
      <w:r>
        <w:rPr>
          <w:rFonts w:hint="eastAsia" w:ascii="宋体" w:hAnsi="宋体"/>
        </w:rPr>
        <w:t>5.2参选文件以中文编印，以中文本为准。</w:t>
      </w:r>
    </w:p>
    <w:p>
      <w:pPr>
        <w:ind w:firstLine="420" w:firstLineChars="200"/>
        <w:rPr>
          <w:rFonts w:ascii="宋体" w:hAnsi="宋体"/>
        </w:rPr>
      </w:pPr>
      <w:r>
        <w:rPr>
          <w:rFonts w:hint="eastAsia" w:ascii="宋体" w:hAnsi="宋体"/>
        </w:rPr>
        <w:t>5.3参选人应认真阅读竞争性比选文件中所有的事项、格式、条款和规范等要求。如果没有按照竞争性比选文件要求提交全部资料，或者参选文件没有对竞争性比选文件做出实质性响应，该参选文件有可能被拒绝，其风险应由参选人自行承担。</w:t>
      </w:r>
    </w:p>
    <w:p>
      <w:pPr>
        <w:ind w:firstLine="422" w:firstLineChars="200"/>
        <w:rPr>
          <w:rFonts w:ascii="宋体" w:hAnsi="宋体"/>
          <w:b/>
          <w:bCs/>
        </w:rPr>
      </w:pPr>
      <w:r>
        <w:rPr>
          <w:rFonts w:hint="eastAsia" w:ascii="宋体" w:hAnsi="宋体"/>
          <w:b/>
          <w:bCs/>
        </w:rPr>
        <w:t>6.竞争性比选文件的澄清</w:t>
      </w:r>
    </w:p>
    <w:p>
      <w:pPr>
        <w:ind w:firstLine="420" w:firstLineChars="200"/>
        <w:rPr>
          <w:rFonts w:ascii="宋体" w:hAnsi="宋体"/>
        </w:rPr>
      </w:pPr>
      <w:r>
        <w:rPr>
          <w:rFonts w:hint="eastAsia" w:ascii="宋体" w:hAnsi="宋体"/>
        </w:rPr>
        <w:t>任何要求澄清竞争性比选文件的参选人，均应在参选截止日前3天以书面或传真的形式通知邀请人。邀请人在参选截止日前2天将以书面或传真的形式予以答复所有参选人。</w:t>
      </w:r>
    </w:p>
    <w:p>
      <w:pPr>
        <w:ind w:firstLine="422" w:firstLineChars="200"/>
        <w:rPr>
          <w:rFonts w:ascii="宋体" w:hAnsi="宋体"/>
          <w:b/>
          <w:bCs/>
        </w:rPr>
      </w:pPr>
      <w:r>
        <w:rPr>
          <w:rFonts w:hint="eastAsia" w:ascii="宋体" w:hAnsi="宋体"/>
          <w:b/>
          <w:bCs/>
        </w:rPr>
        <w:t>7.竞争性比选文件的修改</w:t>
      </w:r>
    </w:p>
    <w:p>
      <w:pPr>
        <w:ind w:firstLine="420" w:firstLineChars="200"/>
        <w:rPr>
          <w:rFonts w:ascii="宋体" w:hAnsi="宋体"/>
          <w:color w:val="000000"/>
        </w:rPr>
      </w:pPr>
      <w:r>
        <w:rPr>
          <w:rFonts w:hint="eastAsia" w:ascii="宋体" w:hAnsi="宋体"/>
        </w:rPr>
        <w:t>7.1在参选截止日期前2天，无论出于何种原因，邀请人可主动或在解答参选人提出的问题时对竞争性比选文件进行修改。邀请人对竞争性比选文件的修改，应于参选截止日前1天以书面或传真的形式通知所</w:t>
      </w:r>
      <w:r>
        <w:rPr>
          <w:rFonts w:hint="eastAsia" w:ascii="宋体" w:hAnsi="宋体"/>
          <w:color w:val="000000"/>
        </w:rPr>
        <w:t>有参选人。</w:t>
      </w:r>
    </w:p>
    <w:p>
      <w:pPr>
        <w:ind w:firstLine="420" w:firstLineChars="200"/>
        <w:rPr>
          <w:rFonts w:ascii="宋体" w:hAnsi="宋体"/>
        </w:rPr>
      </w:pPr>
      <w:r>
        <w:rPr>
          <w:rFonts w:hint="eastAsia" w:ascii="宋体" w:hAnsi="宋体"/>
        </w:rPr>
        <w:t>7.2竞争性比选文件的修改或澄清对所有参选人具有约束力。参选人收到竞争性比选文件的修改或澄清后，应立即以传真形式加以确认。</w:t>
      </w:r>
    </w:p>
    <w:p>
      <w:pPr>
        <w:ind w:firstLine="420" w:firstLineChars="200"/>
        <w:rPr>
          <w:rFonts w:ascii="宋体" w:hAnsi="宋体"/>
        </w:rPr>
      </w:pPr>
      <w:r>
        <w:rPr>
          <w:rFonts w:hint="eastAsia" w:ascii="宋体" w:hAnsi="宋体"/>
        </w:rPr>
        <w:t>7.3为使参选人在编写参选文件时，有充分时间对竞争性比选文件的修改部分进行研究，邀请人可以酌情延长参选截止日期，并以书面或传真的形式通知已收到竞争性比选文件的每一位参选人。</w:t>
      </w:r>
    </w:p>
    <w:p>
      <w:pPr>
        <w:rPr>
          <w:rFonts w:ascii="黑体" w:hAnsi="宋体" w:eastAsia="黑体"/>
          <w:b/>
          <w:bCs/>
          <w:sz w:val="24"/>
        </w:rPr>
      </w:pPr>
      <w:r>
        <w:rPr>
          <w:rFonts w:hint="eastAsia" w:ascii="黑体" w:hAnsi="宋体" w:eastAsia="黑体"/>
          <w:b/>
          <w:bCs/>
          <w:sz w:val="24"/>
        </w:rPr>
        <w:t>三、参选文件</w:t>
      </w:r>
    </w:p>
    <w:p>
      <w:pPr>
        <w:ind w:firstLine="420" w:firstLineChars="200"/>
        <w:rPr>
          <w:rFonts w:ascii="宋体" w:hAnsi="宋体"/>
          <w:szCs w:val="21"/>
          <w:bdr w:val="single" w:color="auto" w:sz="4" w:space="0"/>
        </w:rPr>
      </w:pPr>
      <w:r>
        <w:rPr>
          <w:rFonts w:hint="eastAsia" w:ascii="宋体" w:hAnsi="宋体"/>
          <w:szCs w:val="21"/>
        </w:rPr>
        <w:t>3.1</w:t>
      </w:r>
      <w:r>
        <w:rPr>
          <w:rFonts w:hint="eastAsia" w:ascii="宋体" w:hAnsi="宋体"/>
          <w:b/>
          <w:szCs w:val="21"/>
        </w:rPr>
        <w:t>参选文件应合并装订</w:t>
      </w:r>
      <w:r>
        <w:rPr>
          <w:rFonts w:hint="eastAsia" w:ascii="宋体" w:hAnsi="宋体"/>
          <w:b/>
          <w:color w:val="000000"/>
          <w:szCs w:val="21"/>
        </w:rPr>
        <w:t>（注：拒绝活页式文件）后</w:t>
      </w:r>
      <w:r>
        <w:rPr>
          <w:rFonts w:hint="eastAsia" w:ascii="宋体" w:hAnsi="宋体"/>
          <w:b/>
          <w:szCs w:val="21"/>
        </w:rPr>
        <w:t>密封并加盖公章。</w:t>
      </w:r>
    </w:p>
    <w:p>
      <w:pPr>
        <w:ind w:firstLine="420" w:firstLineChars="200"/>
        <w:rPr>
          <w:rFonts w:ascii="宋体" w:hAnsi="宋体"/>
        </w:rPr>
      </w:pPr>
      <w:r>
        <w:rPr>
          <w:rFonts w:hint="eastAsia" w:ascii="宋体" w:hAnsi="宋体"/>
        </w:rPr>
        <w:t>3.2参选文件中所使用的计量单位除竞争性比选文件中有特殊规定外，一律使用法定计量单位。</w:t>
      </w:r>
    </w:p>
    <w:p>
      <w:pPr>
        <w:ind w:firstLine="422" w:firstLineChars="200"/>
        <w:rPr>
          <w:rFonts w:ascii="宋体" w:hAnsi="宋体"/>
          <w:b/>
          <w:bCs/>
        </w:rPr>
      </w:pPr>
      <w:r>
        <w:rPr>
          <w:rFonts w:hint="eastAsia" w:ascii="宋体" w:hAnsi="宋体"/>
          <w:b/>
          <w:bCs/>
        </w:rPr>
        <w:t>12.参选报价</w:t>
      </w:r>
    </w:p>
    <w:p>
      <w:pPr>
        <w:ind w:firstLine="420" w:firstLineChars="200"/>
        <w:rPr>
          <w:rFonts w:ascii="宋体" w:hAnsi="宋体"/>
        </w:rPr>
      </w:pPr>
      <w:r>
        <w:rPr>
          <w:rFonts w:hint="eastAsia" w:ascii="宋体" w:hAnsi="宋体"/>
        </w:rPr>
        <w:t>12.1参选报</w:t>
      </w:r>
      <w:r>
        <w:rPr>
          <w:rFonts w:ascii="宋体" w:hAnsi="宋体"/>
        </w:rPr>
        <w:t>价应完全包含</w:t>
      </w:r>
      <w:r>
        <w:rPr>
          <w:rFonts w:hint="eastAsia" w:ascii="宋体" w:hAnsi="宋体"/>
        </w:rPr>
        <w:t>比选</w:t>
      </w:r>
      <w:r>
        <w:rPr>
          <w:rFonts w:ascii="宋体" w:hAnsi="宋体"/>
        </w:rPr>
        <w:t>文件</w:t>
      </w:r>
      <w:r>
        <w:rPr>
          <w:rFonts w:hint="eastAsia" w:ascii="宋体" w:hAnsi="宋体"/>
        </w:rPr>
        <w:t>（含</w:t>
      </w:r>
      <w:r>
        <w:rPr>
          <w:rFonts w:ascii="宋体" w:hAnsi="宋体"/>
        </w:rPr>
        <w:t>技术附件、</w:t>
      </w:r>
      <w:r>
        <w:rPr>
          <w:rFonts w:hint="eastAsia" w:ascii="宋体" w:hAnsi="宋体"/>
        </w:rPr>
        <w:t>答疑、</w:t>
      </w:r>
      <w:r>
        <w:rPr>
          <w:rFonts w:ascii="宋体" w:hAnsi="宋体"/>
        </w:rPr>
        <w:t>澄清</w:t>
      </w:r>
      <w:r>
        <w:rPr>
          <w:rFonts w:hint="eastAsia" w:ascii="宋体" w:hAnsi="宋体"/>
        </w:rPr>
        <w:t>及修改</w:t>
      </w:r>
      <w:r>
        <w:rPr>
          <w:rFonts w:ascii="宋体" w:hAnsi="宋体"/>
        </w:rPr>
        <w:t>文件等</w:t>
      </w:r>
      <w:r>
        <w:rPr>
          <w:rFonts w:hint="eastAsia" w:ascii="宋体" w:hAnsi="宋体"/>
        </w:rPr>
        <w:t>）</w:t>
      </w:r>
      <w:r>
        <w:rPr>
          <w:rFonts w:ascii="宋体" w:hAnsi="宋体"/>
        </w:rPr>
        <w:t>要求的</w:t>
      </w:r>
      <w:r>
        <w:rPr>
          <w:rFonts w:hint="eastAsia" w:ascii="宋体" w:hAnsi="宋体"/>
        </w:rPr>
        <w:t>内容</w:t>
      </w:r>
      <w:r>
        <w:rPr>
          <w:rFonts w:ascii="宋体" w:hAnsi="宋体"/>
        </w:rPr>
        <w:t>。若因</w:t>
      </w:r>
      <w:r>
        <w:rPr>
          <w:rFonts w:hint="eastAsia" w:ascii="宋体" w:hAnsi="宋体"/>
        </w:rPr>
        <w:t>参选</w:t>
      </w:r>
      <w:r>
        <w:rPr>
          <w:rFonts w:ascii="宋体" w:hAnsi="宋体"/>
        </w:rPr>
        <w:t>人在报价时有漏报、</w:t>
      </w:r>
      <w:r>
        <w:rPr>
          <w:rFonts w:hint="eastAsia" w:ascii="宋体" w:hAnsi="宋体"/>
        </w:rPr>
        <w:t>缺</w:t>
      </w:r>
      <w:r>
        <w:rPr>
          <w:rFonts w:ascii="宋体" w:hAnsi="宋体"/>
        </w:rPr>
        <w:t>项的情况发生，</w:t>
      </w:r>
      <w:r>
        <w:rPr>
          <w:rFonts w:hint="eastAsia" w:ascii="宋体" w:hAnsi="宋体"/>
        </w:rPr>
        <w:t>邀请人</w:t>
      </w:r>
      <w:r>
        <w:rPr>
          <w:rFonts w:ascii="宋体" w:hAnsi="宋体"/>
        </w:rPr>
        <w:t>视为</w:t>
      </w:r>
      <w:r>
        <w:rPr>
          <w:rFonts w:hint="eastAsia" w:ascii="宋体" w:hAnsi="宋体"/>
        </w:rPr>
        <w:t>参选</w:t>
      </w:r>
      <w:r>
        <w:rPr>
          <w:rFonts w:ascii="宋体" w:hAnsi="宋体"/>
        </w:rPr>
        <w:t>人已充分理解</w:t>
      </w:r>
      <w:r>
        <w:rPr>
          <w:rFonts w:hint="eastAsia" w:ascii="宋体" w:hAnsi="宋体"/>
        </w:rPr>
        <w:t>比选</w:t>
      </w:r>
      <w:r>
        <w:rPr>
          <w:rFonts w:ascii="宋体" w:hAnsi="宋体"/>
        </w:rPr>
        <w:t>文件要求，漏报、漏项部分已计入</w:t>
      </w:r>
      <w:r>
        <w:rPr>
          <w:rFonts w:hint="eastAsia" w:ascii="宋体" w:hAnsi="宋体"/>
        </w:rPr>
        <w:t>参选</w:t>
      </w:r>
      <w:r>
        <w:rPr>
          <w:rFonts w:ascii="宋体" w:hAnsi="宋体"/>
        </w:rPr>
        <w:t>报价之中</w:t>
      </w:r>
      <w:r>
        <w:rPr>
          <w:rFonts w:hint="eastAsia" w:ascii="宋体" w:hAnsi="宋体"/>
        </w:rPr>
        <w:t>，中选后签订合同时不予调整</w:t>
      </w:r>
      <w:r>
        <w:rPr>
          <w:rFonts w:ascii="宋体" w:hAnsi="宋体"/>
        </w:rPr>
        <w:t>。</w:t>
      </w:r>
    </w:p>
    <w:p>
      <w:pPr>
        <w:ind w:firstLine="420" w:firstLineChars="200"/>
        <w:rPr>
          <w:rFonts w:ascii="宋体" w:hAnsi="宋体"/>
        </w:rPr>
      </w:pPr>
      <w:r>
        <w:rPr>
          <w:rFonts w:hint="eastAsia" w:ascii="宋体" w:hAnsi="宋体"/>
        </w:rPr>
        <w:t>12.2参选报价为包干价，包含产品费用、运输费用、安装费用、调试费用、培训费用、16%的增值税等项目验收合格、交付渝新公司使用前的一切税费及3年质保期内各项费用等；</w:t>
      </w:r>
    </w:p>
    <w:p>
      <w:pPr>
        <w:ind w:firstLine="420" w:firstLineChars="200"/>
        <w:rPr>
          <w:rFonts w:ascii="宋体" w:hAnsi="宋体"/>
        </w:rPr>
      </w:pPr>
      <w:r>
        <w:rPr>
          <w:rFonts w:hint="eastAsia" w:ascii="宋体" w:hAnsi="宋体"/>
        </w:rPr>
        <w:t>12.3参选报价不得超过最高限价260万元。</w:t>
      </w:r>
    </w:p>
    <w:p>
      <w:pPr>
        <w:ind w:firstLine="420" w:firstLineChars="200"/>
        <w:rPr>
          <w:rFonts w:ascii="宋体" w:hAnsi="宋体"/>
          <w:color w:val="000000"/>
        </w:rPr>
      </w:pPr>
      <w:r>
        <w:rPr>
          <w:rFonts w:hint="eastAsia" w:ascii="宋体" w:hAnsi="宋体"/>
          <w:color w:val="000000"/>
        </w:rPr>
        <w:t>12.4只允许有一种报价，任何有选择的报价将不予接受。参选人报价时必须对竞争性比选文件做出实质性响应，只提供部分数据或资料不符竞争性比选文件的参选文件无效。</w:t>
      </w:r>
    </w:p>
    <w:p>
      <w:pPr>
        <w:ind w:firstLine="420" w:firstLineChars="200"/>
        <w:rPr>
          <w:rFonts w:ascii="宋体" w:hAnsi="宋体"/>
          <w:color w:val="000000"/>
        </w:rPr>
      </w:pPr>
      <w:r>
        <w:rPr>
          <w:rFonts w:hint="eastAsia" w:ascii="宋体" w:hAnsi="宋体"/>
          <w:color w:val="000000"/>
        </w:rPr>
        <w:t>12.5如邀请人认为参选人的报价过高，有权组织参选人进行谈判，根据最终谈判结果确定中选人。</w:t>
      </w:r>
    </w:p>
    <w:p>
      <w:pPr>
        <w:ind w:firstLine="422" w:firstLineChars="200"/>
        <w:rPr>
          <w:rFonts w:ascii="宋体" w:hAnsi="宋体"/>
          <w:b/>
          <w:bCs/>
        </w:rPr>
      </w:pPr>
      <w:r>
        <w:rPr>
          <w:rFonts w:hint="eastAsia" w:ascii="宋体" w:hAnsi="宋体"/>
          <w:b/>
          <w:bCs/>
        </w:rPr>
        <w:t>13.参选货币</w:t>
      </w:r>
    </w:p>
    <w:p>
      <w:pPr>
        <w:ind w:firstLine="420" w:firstLineChars="200"/>
        <w:rPr>
          <w:rFonts w:ascii="宋体" w:hAnsi="宋体"/>
        </w:rPr>
      </w:pPr>
      <w:r>
        <w:rPr>
          <w:rFonts w:hint="eastAsia" w:ascii="宋体" w:hAnsi="宋体"/>
        </w:rPr>
        <w:t>参选应以人民币报价。</w:t>
      </w:r>
    </w:p>
    <w:p>
      <w:pPr>
        <w:ind w:firstLine="422" w:firstLineChars="200"/>
        <w:rPr>
          <w:rFonts w:ascii="宋体" w:hAnsi="宋体"/>
        </w:rPr>
      </w:pPr>
      <w:r>
        <w:rPr>
          <w:rFonts w:hint="eastAsia" w:ascii="宋体" w:hAnsi="宋体"/>
          <w:b/>
          <w:bCs/>
        </w:rPr>
        <w:t>14.证明合格的参选人资格的文件</w:t>
      </w:r>
    </w:p>
    <w:p>
      <w:pPr>
        <w:ind w:firstLine="422" w:firstLineChars="200"/>
        <w:rPr>
          <w:rFonts w:ascii="宋体" w:hAnsi="宋体"/>
          <w:b/>
          <w:color w:val="FF0000"/>
        </w:rPr>
      </w:pPr>
      <w:r>
        <w:rPr>
          <w:rFonts w:hint="eastAsia" w:ascii="宋体" w:hAnsi="宋体"/>
          <w:b/>
        </w:rPr>
        <w:t>参</w:t>
      </w:r>
      <w:r>
        <w:rPr>
          <w:rFonts w:hint="eastAsia" w:ascii="宋体" w:hAnsi="宋体"/>
        </w:rPr>
        <w:t>选人必须提供参选资格文件复印件并加盖印章，同时提供原件备查。</w:t>
      </w:r>
    </w:p>
    <w:p>
      <w:pPr>
        <w:ind w:firstLine="422" w:firstLineChars="200"/>
        <w:rPr>
          <w:rFonts w:ascii="宋体" w:hAnsi="宋体"/>
          <w:b/>
          <w:bCs/>
        </w:rPr>
      </w:pPr>
      <w:r>
        <w:rPr>
          <w:rFonts w:hint="eastAsia" w:ascii="宋体" w:hAnsi="宋体"/>
          <w:b/>
          <w:bCs/>
        </w:rPr>
        <w:t>15.比选有效期</w:t>
      </w:r>
    </w:p>
    <w:p>
      <w:pPr>
        <w:ind w:firstLine="420" w:firstLineChars="200"/>
        <w:rPr>
          <w:rFonts w:ascii="宋体" w:hAnsi="宋体"/>
        </w:rPr>
      </w:pPr>
      <w:r>
        <w:rPr>
          <w:rFonts w:hint="eastAsia" w:ascii="宋体" w:hAnsi="宋体"/>
        </w:rPr>
        <w:t>参选截止日期后60天内，</w:t>
      </w:r>
      <w:r>
        <w:rPr>
          <w:rFonts w:ascii="宋体" w:hAnsi="宋体"/>
        </w:rPr>
        <w:t>含</w:t>
      </w:r>
      <w:r>
        <w:rPr>
          <w:rFonts w:hint="eastAsia" w:ascii="宋体" w:hAnsi="宋体"/>
        </w:rPr>
        <w:t>60天。</w:t>
      </w:r>
    </w:p>
    <w:p>
      <w:pPr>
        <w:ind w:firstLine="422" w:firstLineChars="200"/>
        <w:rPr>
          <w:rFonts w:ascii="宋体" w:hAnsi="宋体"/>
          <w:b/>
          <w:bCs/>
        </w:rPr>
      </w:pPr>
      <w:r>
        <w:rPr>
          <w:rFonts w:hint="eastAsia" w:ascii="宋体" w:hAnsi="宋体"/>
          <w:b/>
          <w:bCs/>
        </w:rPr>
        <w:t>16.参选文件的书写要求</w:t>
      </w:r>
    </w:p>
    <w:p>
      <w:pPr>
        <w:ind w:firstLine="420" w:firstLineChars="200"/>
        <w:rPr>
          <w:rFonts w:ascii="宋体" w:hAnsi="宋体"/>
          <w:b/>
        </w:rPr>
      </w:pPr>
      <w:r>
        <w:rPr>
          <w:rFonts w:hint="eastAsia" w:ascii="宋体" w:hAnsi="宋体"/>
        </w:rPr>
        <w:t>16.1参选文件正本和所有副本须用不褪色的墨水书写或打印，装订成册</w:t>
      </w:r>
      <w:r>
        <w:rPr>
          <w:rFonts w:hint="eastAsia" w:ascii="宋体" w:hAnsi="宋体"/>
          <w:b/>
        </w:rPr>
        <w:t>，邀请人拒绝活页参选资料。</w:t>
      </w:r>
    </w:p>
    <w:p>
      <w:pPr>
        <w:ind w:firstLine="420" w:firstLineChars="200"/>
        <w:rPr>
          <w:rFonts w:ascii="宋体" w:hAnsi="宋体"/>
        </w:rPr>
      </w:pPr>
      <w:r>
        <w:rPr>
          <w:rFonts w:hint="eastAsia" w:ascii="宋体" w:hAnsi="宋体"/>
        </w:rPr>
        <w:t>16.2参选文件的书写应清楚工整，凡修改处应由参选人授权代表盖章或签字。</w:t>
      </w:r>
    </w:p>
    <w:p>
      <w:pPr>
        <w:ind w:firstLine="420" w:firstLineChars="200"/>
        <w:rPr>
          <w:rFonts w:ascii="宋体" w:hAnsi="宋体"/>
        </w:rPr>
      </w:pPr>
      <w:r>
        <w:rPr>
          <w:rFonts w:hint="eastAsia" w:ascii="宋体" w:hAnsi="宋体"/>
        </w:rPr>
        <w:t>16.3字迹潦草、表达不清、未按要求填写或可能引起歧义的参选文件被定为作废参选文件。</w:t>
      </w:r>
    </w:p>
    <w:p>
      <w:pPr>
        <w:ind w:firstLine="420" w:firstLineChars="200"/>
        <w:rPr>
          <w:rFonts w:ascii="宋体" w:hAnsi="宋体"/>
        </w:rPr>
      </w:pPr>
      <w:r>
        <w:rPr>
          <w:rFonts w:hint="eastAsia" w:ascii="宋体" w:hAnsi="宋体"/>
        </w:rPr>
        <w:t>16.4参选文件的商务部分应由参选人在规定签章处逐一签署及加盖参选人的印章或签字。</w:t>
      </w:r>
    </w:p>
    <w:p>
      <w:pPr>
        <w:ind w:firstLine="420" w:firstLineChars="200"/>
        <w:rPr>
          <w:rFonts w:ascii="宋体" w:hAnsi="宋体"/>
        </w:rPr>
      </w:pPr>
      <w:r>
        <w:rPr>
          <w:rFonts w:hint="eastAsia" w:ascii="宋体" w:hAnsi="宋体"/>
        </w:rPr>
        <w:t>16.5参选文件的份数：正本1份、副本2份，并在文件左上角注明“正本”“副本”字样。</w:t>
      </w:r>
    </w:p>
    <w:p>
      <w:pPr>
        <w:ind w:firstLine="472" w:firstLineChars="196"/>
        <w:rPr>
          <w:rFonts w:ascii="黑体" w:hAnsi="宋体" w:eastAsia="黑体"/>
          <w:b/>
          <w:bCs/>
          <w:sz w:val="24"/>
        </w:rPr>
      </w:pPr>
      <w:r>
        <w:rPr>
          <w:rFonts w:hint="eastAsia" w:ascii="黑体" w:hAnsi="宋体" w:eastAsia="黑体"/>
          <w:b/>
          <w:bCs/>
          <w:sz w:val="24"/>
        </w:rPr>
        <w:t>四、参选</w:t>
      </w:r>
    </w:p>
    <w:p>
      <w:pPr>
        <w:ind w:firstLine="422" w:firstLineChars="200"/>
        <w:rPr>
          <w:rFonts w:ascii="宋体" w:hAnsi="宋体"/>
          <w:b/>
          <w:bCs/>
        </w:rPr>
      </w:pPr>
      <w:r>
        <w:rPr>
          <w:rFonts w:hint="eastAsia" w:ascii="宋体" w:hAnsi="宋体"/>
          <w:b/>
          <w:bCs/>
        </w:rPr>
        <w:t>17.参选文件的密封与标记</w:t>
      </w:r>
    </w:p>
    <w:p>
      <w:pPr>
        <w:ind w:firstLine="420" w:firstLineChars="200"/>
        <w:rPr>
          <w:rFonts w:ascii="宋体" w:hAnsi="宋体"/>
        </w:rPr>
      </w:pPr>
      <w:r>
        <w:rPr>
          <w:rFonts w:hint="eastAsia" w:ascii="宋体" w:hAnsi="宋体"/>
        </w:rPr>
        <w:t>17.1参选人应将参选文件正本和副本装入信袋内加以密封，并在封签处加盖参选人公章或签字（或合同专用章）。</w:t>
      </w:r>
    </w:p>
    <w:p>
      <w:pPr>
        <w:ind w:firstLine="420" w:firstLineChars="200"/>
        <w:rPr>
          <w:rFonts w:ascii="宋体" w:hAnsi="宋体"/>
        </w:rPr>
      </w:pPr>
      <w:r>
        <w:rPr>
          <w:rFonts w:hint="eastAsia" w:ascii="宋体" w:hAnsi="宋体"/>
        </w:rPr>
        <w:t>17.2参选文件信袋封条上应写明：</w:t>
      </w:r>
    </w:p>
    <w:p>
      <w:pPr>
        <w:ind w:firstLine="420" w:firstLineChars="200"/>
        <w:rPr>
          <w:rFonts w:ascii="宋体" w:hAnsi="宋体"/>
        </w:rPr>
      </w:pPr>
      <w:r>
        <w:rPr>
          <w:rFonts w:hint="eastAsia" w:ascii="宋体" w:hAnsi="宋体"/>
        </w:rPr>
        <w:t>①参选项目名称。</w:t>
      </w:r>
    </w:p>
    <w:p>
      <w:pPr>
        <w:ind w:firstLine="420" w:firstLineChars="200"/>
        <w:rPr>
          <w:rFonts w:ascii="宋体" w:hAnsi="宋体"/>
        </w:rPr>
      </w:pPr>
      <w:r>
        <w:rPr>
          <w:rFonts w:hint="eastAsia" w:ascii="宋体" w:hAnsi="宋体"/>
        </w:rPr>
        <w:t>②注明“开选时才能启封”。</w:t>
      </w:r>
    </w:p>
    <w:p>
      <w:pPr>
        <w:ind w:firstLine="422" w:firstLineChars="200"/>
        <w:rPr>
          <w:rFonts w:ascii="宋体" w:hAnsi="宋体"/>
          <w:b/>
          <w:bCs/>
        </w:rPr>
      </w:pPr>
      <w:r>
        <w:rPr>
          <w:rFonts w:hint="eastAsia" w:ascii="宋体" w:hAnsi="宋体"/>
          <w:b/>
          <w:bCs/>
        </w:rPr>
        <w:t>18.参选截止日期</w:t>
      </w:r>
    </w:p>
    <w:p>
      <w:pPr>
        <w:ind w:firstLine="420" w:firstLineChars="200"/>
        <w:rPr>
          <w:rFonts w:ascii="宋体" w:hAnsi="宋体"/>
        </w:rPr>
      </w:pPr>
      <w:r>
        <w:rPr>
          <w:rFonts w:hint="eastAsia" w:ascii="宋体" w:hAnsi="宋体"/>
        </w:rPr>
        <w:t>18.1参选文件必须在竞争性比选邀请书规定的参选截止日期前送达指定地点。</w:t>
      </w:r>
    </w:p>
    <w:p>
      <w:pPr>
        <w:ind w:firstLine="420" w:firstLineChars="200"/>
        <w:rPr>
          <w:rFonts w:ascii="宋体" w:hAnsi="宋体"/>
        </w:rPr>
      </w:pPr>
      <w:r>
        <w:rPr>
          <w:rFonts w:hint="eastAsia" w:ascii="宋体" w:hAnsi="宋体"/>
        </w:rPr>
        <w:t>18.2在参选截止时间以后送达的参选文件，邀请人拒绝接收。</w:t>
      </w:r>
    </w:p>
    <w:p>
      <w:pPr>
        <w:ind w:firstLine="422" w:firstLineChars="200"/>
      </w:pPr>
      <w:r>
        <w:rPr>
          <w:rFonts w:hint="eastAsia" w:ascii="宋体" w:hAnsi="宋体"/>
          <w:b/>
          <w:color w:val="000000"/>
        </w:rPr>
        <w:t>18.3参选保证金在中选人签订合同后5个工作日内全额退还，对放弃中选、</w:t>
      </w:r>
      <w:r>
        <w:rPr>
          <w:rFonts w:hint="eastAsia" w:ascii="宋体" w:hAnsi="宋体"/>
          <w:b/>
        </w:rPr>
        <w:t>不按邀请人要求签订合同</w:t>
      </w:r>
      <w:r>
        <w:rPr>
          <w:rFonts w:hint="eastAsia" w:ascii="宋体" w:hAnsi="宋体"/>
          <w:b/>
          <w:color w:val="000000"/>
        </w:rPr>
        <w:t>以及违规中选的，按相关规定不予退还，并且邀请人保留进一步追究赔偿损失的权利</w:t>
      </w:r>
      <w:r>
        <w:rPr>
          <w:rFonts w:hint="eastAsia" w:ascii="宋体" w:hAnsi="宋体"/>
          <w:color w:val="000000"/>
        </w:rPr>
        <w:t>。</w:t>
      </w:r>
    </w:p>
    <w:p>
      <w:pPr>
        <w:ind w:firstLine="472" w:firstLineChars="196"/>
        <w:rPr>
          <w:rFonts w:ascii="宋体" w:hAnsi="宋体"/>
          <w:b/>
          <w:bCs/>
          <w:sz w:val="24"/>
        </w:rPr>
      </w:pPr>
      <w:r>
        <w:rPr>
          <w:rFonts w:hint="eastAsia" w:ascii="宋体" w:hAnsi="宋体"/>
          <w:b/>
          <w:bCs/>
          <w:sz w:val="24"/>
        </w:rPr>
        <w:t>五、竞争性比选程序及评选</w:t>
      </w:r>
    </w:p>
    <w:p>
      <w:pPr>
        <w:ind w:firstLine="422" w:firstLineChars="200"/>
        <w:rPr>
          <w:rFonts w:ascii="宋体" w:hAnsi="宋体"/>
          <w:b/>
          <w:bCs/>
        </w:rPr>
      </w:pPr>
      <w:r>
        <w:rPr>
          <w:rFonts w:hint="eastAsia" w:ascii="宋体" w:hAnsi="宋体"/>
          <w:b/>
          <w:bCs/>
        </w:rPr>
        <w:t>19.竞争性比选程序</w:t>
      </w:r>
    </w:p>
    <w:p>
      <w:pPr>
        <w:ind w:firstLine="420" w:firstLineChars="200"/>
        <w:rPr>
          <w:rFonts w:ascii="宋体" w:hAnsi="宋体"/>
        </w:rPr>
      </w:pPr>
      <w:r>
        <w:rPr>
          <w:rFonts w:hint="eastAsia" w:ascii="宋体" w:hAnsi="宋体"/>
        </w:rPr>
        <w:t>19.1邀请人根据竞争性比选文件规定的时间、地点进行公开竞争性比选，</w:t>
      </w:r>
      <w:r>
        <w:rPr>
          <w:rFonts w:hint="eastAsia" w:ascii="宋体" w:hAnsi="宋体"/>
          <w:szCs w:val="21"/>
        </w:rPr>
        <w:t>并邀请所有参选人代表准时参加</w:t>
      </w:r>
      <w:r>
        <w:rPr>
          <w:rFonts w:hint="eastAsia" w:ascii="宋体" w:hAnsi="宋体"/>
        </w:rPr>
        <w:t>。</w:t>
      </w:r>
    </w:p>
    <w:p>
      <w:pPr>
        <w:ind w:firstLine="420" w:firstLineChars="200"/>
        <w:rPr>
          <w:rFonts w:ascii="宋体" w:hAnsi="宋体"/>
          <w:szCs w:val="21"/>
        </w:rPr>
      </w:pPr>
      <w:r>
        <w:rPr>
          <w:rFonts w:hint="eastAsia" w:ascii="宋体" w:hAnsi="宋体"/>
        </w:rPr>
        <w:t>19.2</w:t>
      </w:r>
      <w:r>
        <w:rPr>
          <w:rFonts w:hint="eastAsia" w:ascii="宋体" w:hAnsi="宋体"/>
          <w:szCs w:val="21"/>
        </w:rPr>
        <w:t>公布在参选截止时间前递交参选文件的参选人名称，并点名确认参选人是否到场。</w:t>
      </w:r>
    </w:p>
    <w:p>
      <w:pPr>
        <w:ind w:firstLine="420" w:firstLineChars="200"/>
        <w:rPr>
          <w:rFonts w:ascii="宋体" w:hAnsi="宋体"/>
          <w:szCs w:val="21"/>
        </w:rPr>
      </w:pPr>
      <w:r>
        <w:rPr>
          <w:rFonts w:hint="eastAsia" w:ascii="宋体" w:hAnsi="宋体"/>
          <w:szCs w:val="21"/>
        </w:rPr>
        <w:t>19.3监督人员当众宣读《参选守则》；</w:t>
      </w:r>
    </w:p>
    <w:p>
      <w:pPr>
        <w:ind w:firstLine="420" w:firstLineChars="200"/>
        <w:rPr>
          <w:rFonts w:ascii="宋体" w:hAnsi="宋体"/>
          <w:szCs w:val="21"/>
        </w:rPr>
      </w:pPr>
      <w:r>
        <w:rPr>
          <w:rFonts w:hint="eastAsia" w:ascii="宋体" w:hAnsi="宋体"/>
          <w:szCs w:val="21"/>
        </w:rPr>
        <w:t>19.4监督人、参选人代表共同对参选资料密封情况进行检查确认；</w:t>
      </w:r>
    </w:p>
    <w:p>
      <w:pPr>
        <w:ind w:firstLine="420" w:firstLineChars="200"/>
      </w:pPr>
      <w:r>
        <w:rPr>
          <w:rFonts w:hint="eastAsia" w:ascii="宋体" w:hAnsi="宋体"/>
          <w:szCs w:val="21"/>
        </w:rPr>
        <w:t>19.5</w:t>
      </w:r>
      <w:r>
        <w:rPr>
          <w:rFonts w:hint="eastAsia"/>
        </w:rPr>
        <w:t>依次当众开启参选文件，公布参选人名称、参选保证金的递交情况、参选报价等，并记录在案；</w:t>
      </w:r>
    </w:p>
    <w:p>
      <w:pPr>
        <w:ind w:firstLine="420" w:firstLineChars="200"/>
      </w:pPr>
      <w:r>
        <w:rPr>
          <w:rFonts w:hint="eastAsia" w:ascii="宋体" w:hAnsi="宋体"/>
          <w:szCs w:val="21"/>
        </w:rPr>
        <w:t>19.6</w:t>
      </w:r>
      <w:r>
        <w:rPr>
          <w:rFonts w:hint="eastAsia"/>
        </w:rPr>
        <w:t>参选人、监督人及工作人员在参选资料开启记录上签字确认。</w:t>
      </w:r>
    </w:p>
    <w:p>
      <w:pPr>
        <w:ind w:firstLine="422" w:firstLineChars="200"/>
        <w:rPr>
          <w:rFonts w:ascii="宋体" w:hAnsi="宋体"/>
          <w:b/>
          <w:bCs/>
        </w:rPr>
      </w:pPr>
      <w:r>
        <w:rPr>
          <w:rFonts w:hint="eastAsia" w:ascii="宋体" w:hAnsi="宋体"/>
          <w:b/>
          <w:bCs/>
        </w:rPr>
        <w:t>20.评选</w:t>
      </w:r>
    </w:p>
    <w:p>
      <w:pPr>
        <w:ind w:firstLine="420" w:firstLineChars="200"/>
        <w:rPr>
          <w:rFonts w:ascii="宋体" w:hAnsi="宋体"/>
        </w:rPr>
      </w:pPr>
      <w:r>
        <w:rPr>
          <w:rFonts w:hint="eastAsia" w:ascii="宋体" w:hAnsi="宋体"/>
        </w:rPr>
        <w:t>20.1邀请人根据竞争性比选项目特点组建评选委员会。</w:t>
      </w:r>
    </w:p>
    <w:p>
      <w:pPr>
        <w:ind w:firstLine="420" w:firstLineChars="200"/>
        <w:rPr>
          <w:rFonts w:ascii="宋体" w:hAnsi="宋体"/>
        </w:rPr>
      </w:pPr>
      <w:r>
        <w:rPr>
          <w:rFonts w:hint="eastAsia" w:ascii="宋体" w:hAnsi="宋体"/>
        </w:rPr>
        <w:t>20.2评选活动遵循公平、公正、科学和择优原则。</w:t>
      </w:r>
    </w:p>
    <w:p>
      <w:pPr>
        <w:ind w:firstLine="420" w:firstLineChars="200"/>
        <w:rPr>
          <w:rFonts w:ascii="宋体" w:hAnsi="宋体"/>
        </w:rPr>
      </w:pPr>
      <w:r>
        <w:rPr>
          <w:rFonts w:hint="eastAsia" w:ascii="宋体" w:hAnsi="宋体"/>
        </w:rPr>
        <w:t>20.3评选的依据为竞争性比选文件、参选文件。</w:t>
      </w:r>
    </w:p>
    <w:p>
      <w:pPr>
        <w:ind w:firstLine="420" w:firstLineChars="200"/>
        <w:rPr>
          <w:rFonts w:ascii="宋体" w:hAnsi="宋体"/>
        </w:rPr>
      </w:pPr>
      <w:r>
        <w:rPr>
          <w:rFonts w:hint="eastAsia" w:ascii="宋体" w:hAnsi="宋体"/>
        </w:rPr>
        <w:t>20.4资格审查时，参选文件与竞争性比选文件有重大偏离时，参选文件有可能被拒绝。</w:t>
      </w:r>
    </w:p>
    <w:p>
      <w:pPr>
        <w:ind w:firstLine="420" w:firstLineChars="200"/>
        <w:rPr>
          <w:rFonts w:ascii="宋体" w:hAnsi="宋体"/>
          <w:color w:val="000000"/>
        </w:rPr>
      </w:pPr>
      <w:r>
        <w:rPr>
          <w:rFonts w:hint="eastAsia" w:ascii="宋体" w:hAnsi="宋体"/>
        </w:rPr>
        <w:t>20</w:t>
      </w:r>
      <w:r>
        <w:rPr>
          <w:rFonts w:ascii="宋体" w:hAnsi="宋体"/>
        </w:rPr>
        <w:t>.</w:t>
      </w:r>
      <w:r>
        <w:rPr>
          <w:rFonts w:hint="eastAsia" w:ascii="宋体" w:hAnsi="宋体"/>
        </w:rPr>
        <w:t>5</w:t>
      </w:r>
      <w:r>
        <w:rPr>
          <w:rFonts w:hint="eastAsia" w:ascii="宋体" w:hAnsi="宋体"/>
          <w:szCs w:val="21"/>
        </w:rPr>
        <w:t>评选委员会对满足竞争性比选文件实质性要求的参选文件，按顺序推</w:t>
      </w:r>
      <w:r>
        <w:rPr>
          <w:rFonts w:hint="eastAsia" w:ascii="宋体" w:hAnsi="宋体"/>
          <w:color w:val="000000"/>
          <w:szCs w:val="21"/>
        </w:rPr>
        <w:t>荐中选人。</w:t>
      </w:r>
    </w:p>
    <w:p>
      <w:pPr>
        <w:ind w:firstLine="420" w:firstLineChars="200"/>
        <w:rPr>
          <w:rFonts w:ascii="宋体" w:hAnsi="宋体"/>
        </w:rPr>
      </w:pPr>
      <w:r>
        <w:rPr>
          <w:rFonts w:hint="eastAsia" w:ascii="宋体" w:hAnsi="宋体"/>
        </w:rPr>
        <w:t>20.</w:t>
      </w:r>
      <w:r>
        <w:rPr>
          <w:rFonts w:ascii="宋体" w:hAnsi="宋体"/>
        </w:rPr>
        <w:t>6</w:t>
      </w:r>
      <w:r>
        <w:rPr>
          <w:rFonts w:hint="eastAsia" w:ascii="宋体" w:hAnsi="宋体"/>
        </w:rPr>
        <w:t>参选文件中有下列错误必须修正并确认，否则参选文件将被拒绝，其参选保证金将被没收：</w:t>
      </w:r>
    </w:p>
    <w:p>
      <w:pPr>
        <w:ind w:firstLine="420" w:firstLineChars="200"/>
        <w:rPr>
          <w:rFonts w:ascii="宋体" w:hAnsi="宋体"/>
        </w:rPr>
      </w:pPr>
      <w:r>
        <w:rPr>
          <w:rFonts w:hint="eastAsia" w:ascii="宋体" w:hAnsi="宋体"/>
        </w:rPr>
        <w:t>①单价累计之和与总价不一致，以单价为准修改总价。</w:t>
      </w:r>
    </w:p>
    <w:p>
      <w:pPr>
        <w:ind w:firstLine="420" w:firstLineChars="200"/>
        <w:rPr>
          <w:rFonts w:ascii="宋体" w:hAnsi="宋体"/>
        </w:rPr>
      </w:pPr>
      <w:r>
        <w:rPr>
          <w:rFonts w:hint="eastAsia" w:ascii="宋体" w:hAnsi="宋体"/>
        </w:rPr>
        <w:t>②用文字表示的数值与用数字表示的数值不一致，以文字表示的数值为准。</w:t>
      </w:r>
    </w:p>
    <w:p>
      <w:pPr>
        <w:ind w:firstLine="420" w:firstLineChars="200"/>
        <w:rPr>
          <w:rFonts w:ascii="宋体" w:hAnsi="宋体"/>
        </w:rPr>
      </w:pPr>
      <w:r>
        <w:rPr>
          <w:rFonts w:hint="eastAsia" w:ascii="宋体" w:hAnsi="宋体"/>
        </w:rPr>
        <w:t>③文字表述与图形不一致，以文字表述为准。</w:t>
      </w:r>
    </w:p>
    <w:p>
      <w:pPr>
        <w:ind w:firstLine="420" w:firstLineChars="200"/>
        <w:rPr>
          <w:rFonts w:ascii="宋体" w:hAnsi="宋体"/>
        </w:rPr>
      </w:pPr>
      <w:r>
        <w:rPr>
          <w:rFonts w:hint="eastAsia" w:ascii="宋体" w:hAnsi="宋体"/>
        </w:rPr>
        <w:t>2</w:t>
      </w:r>
      <w:r>
        <w:rPr>
          <w:rFonts w:ascii="宋体" w:hAnsi="宋体"/>
        </w:rPr>
        <w:t>0</w:t>
      </w:r>
      <w:r>
        <w:rPr>
          <w:rFonts w:hint="eastAsia" w:ascii="宋体" w:hAnsi="宋体"/>
        </w:rPr>
        <w:t>.</w:t>
      </w:r>
      <w:r>
        <w:rPr>
          <w:rFonts w:ascii="宋体" w:hAnsi="宋体"/>
        </w:rPr>
        <w:t>7</w:t>
      </w:r>
      <w:r>
        <w:rPr>
          <w:rFonts w:hint="eastAsia" w:ascii="宋体" w:hAnsi="宋体"/>
        </w:rPr>
        <w:t>参选文件的澄清</w:t>
      </w:r>
      <w:r>
        <w:rPr>
          <w:rFonts w:hint="eastAsia" w:ascii="宋体" w:hAnsi="宋体"/>
          <w:color w:val="FF0000"/>
        </w:rPr>
        <w:t>：</w:t>
      </w:r>
    </w:p>
    <w:p>
      <w:pPr>
        <w:ind w:firstLine="420" w:firstLineChars="200"/>
        <w:rPr>
          <w:rFonts w:ascii="宋体" w:hAnsi="宋体"/>
        </w:rPr>
      </w:pPr>
      <w:r>
        <w:rPr>
          <w:rFonts w:hint="eastAsia" w:ascii="宋体" w:hAnsi="宋体"/>
        </w:rPr>
        <w:t>①为有助于参选文件的审查、评选和比较，评选委员会有权请参选人就参选文件中的有关问题予以说明和澄清</w:t>
      </w:r>
      <w:r>
        <w:rPr>
          <w:rFonts w:hint="eastAsia" w:ascii="宋体" w:hAnsi="宋体"/>
          <w:color w:val="FF0000"/>
        </w:rPr>
        <w:t>；</w:t>
      </w:r>
      <w:r>
        <w:rPr>
          <w:rFonts w:hint="eastAsia" w:ascii="宋体" w:hAnsi="宋体"/>
        </w:rPr>
        <w:t>参选人有责任按照邀请人通知的时间和地点派专人进行答疑。</w:t>
      </w:r>
    </w:p>
    <w:p>
      <w:pPr>
        <w:ind w:firstLine="420" w:firstLineChars="200"/>
        <w:rPr>
          <w:rFonts w:ascii="宋体" w:hAnsi="宋体"/>
        </w:rPr>
      </w:pPr>
      <w:r>
        <w:rPr>
          <w:rFonts w:hint="eastAsia" w:ascii="宋体" w:hAnsi="宋体"/>
        </w:rPr>
        <w:t>②参选人代表对要求说明和澄清的问题应以书面形式明确答复。</w:t>
      </w:r>
    </w:p>
    <w:p>
      <w:pPr>
        <w:ind w:firstLine="420" w:firstLineChars="200"/>
        <w:rPr>
          <w:rFonts w:ascii="宋体" w:hAnsi="宋体"/>
        </w:rPr>
      </w:pPr>
      <w:r>
        <w:rPr>
          <w:rFonts w:hint="eastAsia" w:ascii="宋体" w:hAnsi="宋体"/>
        </w:rPr>
        <w:t>③参选人代表的澄清文件是参选文件的组成部分，并替代参选文件中被澄清的部分。</w:t>
      </w:r>
    </w:p>
    <w:p>
      <w:pPr>
        <w:ind w:firstLine="420" w:firstLineChars="200"/>
        <w:rPr>
          <w:rFonts w:ascii="宋体" w:hAnsi="宋体"/>
        </w:rPr>
      </w:pPr>
      <w:r>
        <w:rPr>
          <w:rFonts w:hint="eastAsia" w:ascii="宋体" w:hAnsi="宋体"/>
        </w:rPr>
        <w:t>④参选文件的澄清不得改变参选文件的实质内容。</w:t>
      </w:r>
    </w:p>
    <w:p>
      <w:pPr>
        <w:ind w:firstLine="420" w:firstLineChars="200"/>
        <w:rPr>
          <w:rFonts w:ascii="宋体" w:hAnsi="宋体"/>
        </w:rPr>
      </w:pPr>
      <w:r>
        <w:rPr>
          <w:rFonts w:hint="eastAsia" w:ascii="宋体" w:hAnsi="宋体"/>
        </w:rPr>
        <w:t>⑤评选委员会判断参选文件的响应性仅基于参选文件本身而不靠外部证据。</w:t>
      </w:r>
    </w:p>
    <w:p>
      <w:pPr>
        <w:ind w:firstLine="420" w:firstLineChars="200"/>
        <w:rPr>
          <w:rFonts w:ascii="宋体" w:hAnsi="宋体"/>
        </w:rPr>
      </w:pPr>
      <w:r>
        <w:rPr>
          <w:rFonts w:hint="eastAsia" w:ascii="宋体" w:hAnsi="宋体"/>
        </w:rPr>
        <w:t>⑥评选委员会将拒绝被确定为非实质性响应的参选文件</w:t>
      </w:r>
      <w:r>
        <w:rPr>
          <w:rFonts w:hint="eastAsia" w:ascii="宋体" w:hAnsi="宋体"/>
          <w:color w:val="FF0000"/>
        </w:rPr>
        <w:t>；</w:t>
      </w:r>
      <w:r>
        <w:rPr>
          <w:rFonts w:hint="eastAsia" w:ascii="宋体" w:hAnsi="宋体"/>
        </w:rPr>
        <w:t>参选人不能通过修改或撤销与竞争性比选文件的不符之处而使其参选文件成为实质性响应的参选文件。</w:t>
      </w:r>
    </w:p>
    <w:p>
      <w:pPr>
        <w:ind w:firstLine="420" w:firstLineChars="200"/>
        <w:rPr>
          <w:rFonts w:ascii="宋体" w:hAnsi="宋体"/>
        </w:rPr>
      </w:pPr>
      <w:r>
        <w:rPr>
          <w:rFonts w:hint="eastAsia" w:ascii="宋体" w:hAnsi="宋体"/>
        </w:rPr>
        <w:t>20.</w:t>
      </w:r>
      <w:r>
        <w:rPr>
          <w:rFonts w:ascii="宋体" w:hAnsi="宋体"/>
        </w:rPr>
        <w:t>8</w:t>
      </w:r>
      <w:r>
        <w:rPr>
          <w:rFonts w:hint="eastAsia" w:ascii="宋体" w:hAnsi="宋体"/>
        </w:rPr>
        <w:t>评选委员会有权选择和拒绝参选人中选。评选委员会无义务向参选人进行任何有关的评选解释。</w:t>
      </w:r>
    </w:p>
    <w:p>
      <w:pPr>
        <w:ind w:firstLine="420" w:firstLineChars="200"/>
        <w:rPr>
          <w:rFonts w:ascii="宋体" w:hAnsi="宋体"/>
        </w:rPr>
      </w:pPr>
      <w:r>
        <w:rPr>
          <w:rFonts w:hint="eastAsia" w:ascii="宋体" w:hAnsi="宋体"/>
        </w:rPr>
        <w:t>20.</w:t>
      </w:r>
      <w:r>
        <w:rPr>
          <w:rFonts w:ascii="宋体" w:hAnsi="宋体"/>
        </w:rPr>
        <w:t>9</w:t>
      </w:r>
      <w:r>
        <w:rPr>
          <w:rFonts w:hint="eastAsia" w:ascii="宋体" w:hAnsi="宋体"/>
        </w:rPr>
        <w:t>评选过程严格保密。凡是属于审查、澄清、评价和比较等的有关资料以及定选情况，均不得向参选人或其他无关的人员透露。</w:t>
      </w:r>
    </w:p>
    <w:p>
      <w:pPr>
        <w:ind w:firstLine="420" w:firstLineChars="200"/>
        <w:rPr>
          <w:rFonts w:ascii="宋体" w:hAnsi="宋体"/>
        </w:rPr>
      </w:pPr>
      <w:r>
        <w:rPr>
          <w:rFonts w:hint="eastAsia" w:ascii="宋体" w:hAnsi="宋体"/>
        </w:rPr>
        <w:t>20.</w:t>
      </w:r>
      <w:r>
        <w:rPr>
          <w:rFonts w:ascii="宋体" w:hAnsi="宋体"/>
        </w:rPr>
        <w:t>10</w:t>
      </w:r>
      <w:r>
        <w:rPr>
          <w:rFonts w:hint="eastAsia" w:ascii="宋体" w:hAnsi="宋体"/>
        </w:rPr>
        <w:t>参选人在评选过程中进行企图影响评选结果的活动，可能导致其被取消中选资格。</w:t>
      </w:r>
    </w:p>
    <w:p>
      <w:pPr>
        <w:ind w:firstLine="422" w:firstLineChars="200"/>
        <w:rPr>
          <w:rFonts w:ascii="宋体" w:hAnsi="宋体"/>
          <w:b/>
          <w:bCs/>
        </w:rPr>
      </w:pPr>
      <w:r>
        <w:rPr>
          <w:rFonts w:hint="eastAsia" w:ascii="宋体" w:hAnsi="宋体"/>
          <w:b/>
          <w:bCs/>
        </w:rPr>
        <w:t>21.评选原则</w:t>
      </w:r>
    </w:p>
    <w:p>
      <w:pPr>
        <w:ind w:firstLine="420" w:firstLineChars="200"/>
        <w:rPr>
          <w:rFonts w:ascii="宋体" w:hAnsi="宋体"/>
          <w:color w:val="000000"/>
        </w:rPr>
      </w:pPr>
      <w:r>
        <w:rPr>
          <w:rFonts w:hint="eastAsia" w:ascii="宋体" w:hAnsi="宋体"/>
          <w:bCs/>
          <w:color w:val="000000"/>
        </w:rPr>
        <w:t>由评选委员会成员综合评审后，推荐中选候选人；邀请人从评委推荐的中选候选人中确定中选人，并发出中选通知书。</w:t>
      </w:r>
    </w:p>
    <w:p>
      <w:pPr>
        <w:ind w:firstLine="422" w:firstLineChars="200"/>
        <w:rPr>
          <w:rFonts w:ascii="宋体" w:hAnsi="宋体"/>
          <w:b/>
          <w:bCs/>
        </w:rPr>
      </w:pPr>
      <w:r>
        <w:rPr>
          <w:rFonts w:hint="eastAsia" w:ascii="宋体" w:hAnsi="宋体"/>
          <w:b/>
          <w:bCs/>
        </w:rPr>
        <w:t>22.授予合同</w:t>
      </w:r>
    </w:p>
    <w:p>
      <w:pPr>
        <w:ind w:firstLine="420" w:firstLineChars="200"/>
        <w:rPr>
          <w:rFonts w:ascii="宋体" w:hAnsi="宋体"/>
        </w:rPr>
      </w:pPr>
      <w:r>
        <w:rPr>
          <w:rFonts w:hint="eastAsia" w:ascii="宋体" w:hAnsi="宋体"/>
        </w:rPr>
        <w:t>22.1邀请人根据评选委员会提交的书面评选报告确定中选人。</w:t>
      </w:r>
    </w:p>
    <w:p>
      <w:pPr>
        <w:ind w:firstLine="420" w:firstLineChars="200"/>
        <w:rPr>
          <w:rFonts w:ascii="宋体" w:hAnsi="宋体"/>
        </w:rPr>
      </w:pPr>
      <w:r>
        <w:rPr>
          <w:rFonts w:hint="eastAsia" w:ascii="宋体" w:hAnsi="宋体"/>
        </w:rPr>
        <w:t>22.2合同将授予下列参选人：</w:t>
      </w:r>
    </w:p>
    <w:p>
      <w:pPr>
        <w:ind w:firstLine="420" w:firstLineChars="200"/>
        <w:rPr>
          <w:rFonts w:ascii="宋体" w:hAnsi="宋体"/>
        </w:rPr>
      </w:pPr>
      <w:r>
        <w:rPr>
          <w:rFonts w:hint="eastAsia" w:ascii="宋体" w:hAnsi="宋体"/>
        </w:rPr>
        <w:t>能够最大限度地满足竞争性比选文件中规定的各项综合评选标准。</w:t>
      </w:r>
    </w:p>
    <w:p>
      <w:pPr>
        <w:ind w:firstLine="422" w:firstLineChars="200"/>
        <w:rPr>
          <w:rFonts w:ascii="宋体" w:hAnsi="宋体"/>
          <w:b/>
          <w:bCs/>
        </w:rPr>
      </w:pPr>
      <w:r>
        <w:rPr>
          <w:rFonts w:hint="eastAsia" w:ascii="宋体" w:hAnsi="宋体"/>
          <w:b/>
          <w:bCs/>
        </w:rPr>
        <w:t>23.中选通知</w:t>
      </w:r>
    </w:p>
    <w:p>
      <w:pPr>
        <w:ind w:firstLine="420" w:firstLineChars="200"/>
        <w:rPr>
          <w:rFonts w:ascii="宋体" w:hAnsi="宋体"/>
          <w:szCs w:val="21"/>
        </w:rPr>
      </w:pPr>
      <w:r>
        <w:rPr>
          <w:rFonts w:hint="eastAsia" w:ascii="宋体" w:hAnsi="宋体"/>
        </w:rPr>
        <w:t>23.1</w:t>
      </w:r>
      <w:r>
        <w:rPr>
          <w:rFonts w:hint="eastAsia" w:ascii="宋体" w:hAnsi="宋体"/>
          <w:szCs w:val="21"/>
        </w:rPr>
        <w:t>在邀请人确定中选人后的5日内，</w:t>
      </w:r>
      <w:r>
        <w:rPr>
          <w:rFonts w:hint="eastAsia" w:ascii="宋体" w:hAnsi="宋体"/>
        </w:rPr>
        <w:t>邀请人以书面形式发出“中选通知书”； “中选通知书”一经发出即</w:t>
      </w:r>
      <w:r>
        <w:rPr>
          <w:rFonts w:hint="eastAsia" w:ascii="宋体" w:hAnsi="宋体"/>
          <w:szCs w:val="21"/>
        </w:rPr>
        <w:t>发生法律效力。</w:t>
      </w:r>
    </w:p>
    <w:p>
      <w:pPr>
        <w:ind w:firstLine="420" w:firstLineChars="200"/>
        <w:rPr>
          <w:rFonts w:ascii="宋体" w:hAnsi="宋体"/>
        </w:rPr>
      </w:pPr>
      <w:r>
        <w:rPr>
          <w:rFonts w:hint="eastAsia" w:ascii="宋体" w:hAnsi="宋体"/>
          <w:szCs w:val="21"/>
        </w:rPr>
        <w:t>23.2在中选人与邀请人签订合同后5个工作日内，邀请人电话通知未中选人落选并退还参选保证金。通知</w:t>
      </w:r>
      <w:r>
        <w:rPr>
          <w:rFonts w:ascii="宋体" w:hAnsi="宋体"/>
          <w:szCs w:val="21"/>
        </w:rPr>
        <w:t>时</w:t>
      </w:r>
      <w:r>
        <w:rPr>
          <w:rFonts w:hint="eastAsia" w:ascii="宋体" w:hAnsi="宋体"/>
          <w:szCs w:val="21"/>
        </w:rPr>
        <w:t>不解释落标原因，不退回参选文件</w:t>
      </w:r>
      <w:r>
        <w:rPr>
          <w:rFonts w:hint="eastAsia" w:ascii="宋体" w:hAnsi="宋体"/>
        </w:rPr>
        <w:t>。</w:t>
      </w:r>
    </w:p>
    <w:p>
      <w:pPr>
        <w:ind w:firstLine="420" w:firstLineChars="200"/>
        <w:rPr>
          <w:rFonts w:ascii="宋体" w:hAnsi="宋体"/>
        </w:rPr>
      </w:pPr>
      <w:r>
        <w:rPr>
          <w:rFonts w:hint="eastAsia" w:ascii="宋体" w:hAnsi="宋体"/>
        </w:rPr>
        <w:t>23.3“中选通知书”将作为签订合同的依据之一。</w:t>
      </w:r>
    </w:p>
    <w:p>
      <w:pPr>
        <w:rPr>
          <w:rFonts w:ascii="宋体" w:hAnsi="宋体"/>
          <w:b/>
          <w:bCs/>
          <w:sz w:val="24"/>
        </w:rPr>
      </w:pPr>
      <w:r>
        <w:rPr>
          <w:rFonts w:hint="eastAsia" w:ascii="宋体" w:hAnsi="宋体"/>
          <w:b/>
          <w:bCs/>
          <w:sz w:val="24"/>
        </w:rPr>
        <w:t>六、签订合同</w:t>
      </w:r>
    </w:p>
    <w:p>
      <w:pPr>
        <w:ind w:firstLine="422" w:firstLineChars="200"/>
        <w:rPr>
          <w:rFonts w:ascii="宋体" w:hAnsi="宋体"/>
          <w:b/>
          <w:bCs/>
        </w:rPr>
      </w:pPr>
      <w:r>
        <w:rPr>
          <w:rFonts w:hint="eastAsia" w:ascii="宋体" w:hAnsi="宋体"/>
          <w:b/>
          <w:bCs/>
        </w:rPr>
        <w:t>24.缴纳履约保证金</w:t>
      </w:r>
    </w:p>
    <w:p>
      <w:pPr>
        <w:ind w:firstLine="420" w:firstLineChars="200"/>
        <w:rPr>
          <w:rFonts w:ascii="宋体" w:hAnsi="宋体"/>
        </w:rPr>
      </w:pPr>
      <w:r>
        <w:rPr>
          <w:rFonts w:hint="eastAsia" w:ascii="宋体" w:hAnsi="宋体"/>
        </w:rPr>
        <w:t>中选</w:t>
      </w:r>
      <w:r>
        <w:rPr>
          <w:rFonts w:ascii="宋体" w:hAnsi="宋体"/>
        </w:rPr>
        <w:t>人</w:t>
      </w:r>
      <w:r>
        <w:rPr>
          <w:rFonts w:hint="eastAsia" w:ascii="宋体" w:hAnsi="宋体"/>
        </w:rPr>
        <w:t>应在接到中选电话通知后3个工作日内，向邀请人提供金额为中选金额5%的履约保证金。</w:t>
      </w:r>
    </w:p>
    <w:p>
      <w:pPr>
        <w:ind w:firstLine="420" w:firstLineChars="200"/>
        <w:rPr>
          <w:rFonts w:ascii="宋体" w:hAnsi="宋体"/>
        </w:rPr>
      </w:pPr>
      <w:r>
        <w:rPr>
          <w:rFonts w:hint="eastAsia" w:ascii="宋体" w:hAnsi="宋体"/>
        </w:rPr>
        <w:t>25.签订合同</w:t>
      </w:r>
    </w:p>
    <w:p>
      <w:pPr>
        <w:ind w:firstLine="420" w:firstLineChars="200"/>
        <w:rPr>
          <w:rFonts w:ascii="宋体" w:hAnsi="宋体"/>
        </w:rPr>
      </w:pPr>
      <w:r>
        <w:rPr>
          <w:rFonts w:hint="eastAsia" w:ascii="宋体" w:hAnsi="宋体"/>
        </w:rPr>
        <w:t>25.1中选人收到“中选通知书”后，按“中选通知书”中规定的时间地点与邀请人签订合同。</w:t>
      </w:r>
    </w:p>
    <w:p>
      <w:pPr>
        <w:ind w:firstLine="420" w:firstLineChars="200"/>
        <w:rPr>
          <w:rFonts w:ascii="宋体" w:hAnsi="宋体"/>
        </w:rPr>
      </w:pPr>
      <w:r>
        <w:rPr>
          <w:rFonts w:hint="eastAsia" w:ascii="宋体" w:hAnsi="宋体"/>
        </w:rPr>
        <w:t>25.2邀请人与中选人双方共同承认的竞争性比选文件、参选文件及评选过程中形成的书面文件均作为签订合同的依据。</w:t>
      </w:r>
    </w:p>
    <w:p>
      <w:pPr>
        <w:ind w:firstLine="420" w:firstLineChars="200"/>
        <w:rPr>
          <w:rFonts w:ascii="宋体" w:hAnsi="宋体"/>
        </w:rPr>
      </w:pPr>
      <w:r>
        <w:rPr>
          <w:rFonts w:hint="eastAsia" w:ascii="宋体" w:hAnsi="宋体"/>
        </w:rPr>
        <w:t>25.3如中选人不接受“中选通知书”拒签合同，则按参选须知18.3条处理。邀请人可从中选候选人中重新选定中选单位，组织双方签订合同。</w:t>
      </w:r>
    </w:p>
    <w:p>
      <w:pPr>
        <w:rPr>
          <w:rFonts w:ascii="宋体" w:hAnsi="宋体"/>
          <w:b/>
          <w:bCs/>
          <w:sz w:val="24"/>
        </w:rPr>
      </w:pPr>
      <w:r>
        <w:rPr>
          <w:rFonts w:hint="eastAsia" w:ascii="宋体" w:hAnsi="宋体"/>
          <w:b/>
          <w:bCs/>
          <w:sz w:val="24"/>
        </w:rPr>
        <w:t>七、其他要求</w:t>
      </w:r>
    </w:p>
    <w:p>
      <w:pPr>
        <w:ind w:firstLine="420" w:firstLineChars="200"/>
        <w:rPr>
          <w:rFonts w:ascii="宋体" w:hAnsi="宋体"/>
        </w:rPr>
      </w:pPr>
      <w:r>
        <w:rPr>
          <w:rFonts w:hint="eastAsia" w:ascii="宋体" w:hAnsi="宋体"/>
        </w:rPr>
        <w:t>26.参选人中选后放弃中选的，邀请人拒绝退还该参选人参选保证金的同时，视参选人违约情形，可以将其列为参选黑名单。</w:t>
      </w:r>
    </w:p>
    <w:p>
      <w:pPr>
        <w:ind w:firstLine="420" w:firstLineChars="200"/>
        <w:rPr>
          <w:rFonts w:ascii="宋体" w:hAnsi="宋体"/>
        </w:rPr>
      </w:pPr>
      <w:r>
        <w:rPr>
          <w:rFonts w:hint="eastAsia" w:ascii="宋体" w:hAnsi="宋体"/>
        </w:rPr>
        <w:t>27.参选人相互串通或勾结邀请人内部相关人员损害邀请人利益的，中选无效。邀请</w:t>
      </w:r>
      <w:r>
        <w:rPr>
          <w:rFonts w:ascii="宋体" w:hAnsi="宋体"/>
        </w:rPr>
        <w:t>人</w:t>
      </w:r>
      <w:r>
        <w:rPr>
          <w:rFonts w:hint="eastAsia" w:ascii="宋体" w:hAnsi="宋体"/>
        </w:rPr>
        <w:t>不退还其参选保证金，并列为渝新公司参选黑名单；情节严重的，移交政府有关部门或司法机关处理。</w:t>
      </w:r>
    </w:p>
    <w:p>
      <w:pPr>
        <w:ind w:firstLine="420" w:firstLineChars="200"/>
        <w:rPr>
          <w:rFonts w:ascii="宋体" w:hAnsi="宋体"/>
        </w:rPr>
      </w:pPr>
      <w:r>
        <w:rPr>
          <w:rFonts w:hint="eastAsia" w:ascii="宋体" w:hAnsi="宋体"/>
        </w:rPr>
        <w:t>28</w:t>
      </w:r>
      <w:r>
        <w:rPr>
          <w:rFonts w:ascii="宋体" w:hAnsi="宋体"/>
        </w:rPr>
        <w:t>.</w:t>
      </w:r>
      <w:r>
        <w:rPr>
          <w:rFonts w:hint="eastAsia" w:ascii="宋体" w:hAnsi="宋体"/>
        </w:rPr>
        <w:t>凡被列为渝新公司参选黑名单的，两年内不能参与渝新公司的竞争性比选或招标活动。</w:t>
      </w:r>
    </w:p>
    <w:p>
      <w:pPr>
        <w:ind w:firstLine="420" w:firstLineChars="200"/>
        <w:rPr>
          <w:rFonts w:ascii="宋体" w:hAnsi="宋体"/>
        </w:rPr>
      </w:pPr>
      <w:r>
        <w:rPr>
          <w:rFonts w:hint="eastAsia" w:ascii="宋体" w:hAnsi="宋体"/>
        </w:rPr>
        <w:t>29.本《比选文件》未尽事宜，按招标投标法及竞争性比选相关规定执行。</w:t>
      </w:r>
    </w:p>
    <w:p>
      <w:pPr>
        <w:pStyle w:val="29"/>
        <w:numPr>
          <w:ilvl w:val="0"/>
          <w:numId w:val="1"/>
        </w:numPr>
        <w:ind w:firstLineChars="0"/>
        <w:rPr>
          <w:rFonts w:ascii="宋体" w:hAnsi="宋体"/>
        </w:rPr>
      </w:pPr>
      <w:r>
        <w:rPr>
          <w:rFonts w:hint="eastAsia" w:ascii="宋体" w:hAnsi="宋体"/>
        </w:rPr>
        <w:t>30</w:t>
      </w:r>
      <w:r>
        <w:rPr>
          <w:rFonts w:ascii="宋体" w:hAnsi="宋体"/>
        </w:rPr>
        <w:t>.</w:t>
      </w:r>
      <w:r>
        <w:rPr>
          <w:rFonts w:hint="eastAsia" w:ascii="宋体" w:hAnsi="宋体"/>
        </w:rPr>
        <w:t>参选人参选产生的一切费用由参选人自行承担。</w:t>
      </w:r>
    </w:p>
    <w:p>
      <w:pPr>
        <w:rPr>
          <w:rFonts w:ascii="宋体" w:hAnsi="宋体"/>
          <w:b/>
          <w:bCs/>
          <w:sz w:val="24"/>
        </w:rPr>
      </w:pPr>
    </w:p>
    <w:p>
      <w:pPr>
        <w:jc w:val="center"/>
        <w:rPr>
          <w:rFonts w:ascii="黑体" w:hAnsi="宋体" w:eastAsia="黑体"/>
          <w:b/>
          <w:bCs/>
          <w:sz w:val="30"/>
          <w:szCs w:val="36"/>
        </w:rPr>
      </w:pPr>
      <w:r>
        <w:rPr>
          <w:rFonts w:hint="eastAsia" w:ascii="黑体" w:hAnsi="宋体" w:eastAsia="黑体"/>
          <w:b/>
          <w:bCs/>
          <w:sz w:val="30"/>
          <w:szCs w:val="36"/>
        </w:rPr>
        <w:t>第三部份　合同主要条款</w:t>
      </w:r>
    </w:p>
    <w:p>
      <w:pPr>
        <w:rPr>
          <w:b/>
          <w:sz w:val="24"/>
        </w:rPr>
      </w:pPr>
    </w:p>
    <w:p>
      <w:pPr>
        <w:jc w:val="center"/>
        <w:rPr>
          <w:b/>
          <w:sz w:val="28"/>
          <w:szCs w:val="28"/>
        </w:rPr>
      </w:pPr>
      <w:r>
        <w:rPr>
          <w:rFonts w:hint="eastAsia"/>
          <w:b/>
          <w:sz w:val="28"/>
          <w:szCs w:val="28"/>
        </w:rPr>
        <w:t>采购合同</w:t>
      </w:r>
    </w:p>
    <w:p>
      <w:pPr>
        <w:ind w:firstLine="420" w:firstLineChars="200"/>
        <w:rPr>
          <w:rFonts w:ascii="宋体" w:hAnsi="宋体"/>
        </w:rPr>
      </w:pPr>
      <w:r>
        <w:rPr>
          <w:rFonts w:hint="eastAsia" w:ascii="宋体" w:hAnsi="宋体"/>
        </w:rPr>
        <w:t>需方（买方）：重庆能投渝新能源有限公司</w:t>
      </w:r>
    </w:p>
    <w:p>
      <w:pPr>
        <w:ind w:firstLine="420" w:firstLineChars="200"/>
        <w:rPr>
          <w:rFonts w:ascii="宋体" w:hAnsi="宋体"/>
        </w:rPr>
      </w:pPr>
      <w:r>
        <w:rPr>
          <w:rFonts w:hint="eastAsia" w:ascii="宋体" w:hAnsi="宋体"/>
        </w:rPr>
        <w:t>供方（卖方）：</w:t>
      </w:r>
    </w:p>
    <w:p>
      <w:pPr>
        <w:ind w:firstLine="420" w:firstLineChars="200"/>
        <w:rPr>
          <w:rFonts w:ascii="宋体" w:hAnsi="宋体"/>
        </w:rPr>
      </w:pPr>
    </w:p>
    <w:p>
      <w:pPr>
        <w:ind w:firstLine="420" w:firstLineChars="200"/>
        <w:rPr>
          <w:rFonts w:ascii="宋体" w:hAnsi="宋体"/>
        </w:rPr>
      </w:pPr>
      <w:r>
        <w:rPr>
          <w:rFonts w:hint="eastAsia" w:ascii="宋体" w:hAnsi="宋体"/>
        </w:rPr>
        <w:t>一、供方提供的产品名称、规格型号、品牌、数量等详见附件。附件中未列明，但属于使项目正常运行所需的设备、材料由供方提供，费用已包含在合同总价中。</w:t>
      </w:r>
    </w:p>
    <w:p>
      <w:pPr>
        <w:ind w:firstLine="420" w:firstLineChars="200"/>
        <w:rPr>
          <w:rFonts w:ascii="宋体" w:hAnsi="宋体"/>
        </w:rPr>
      </w:pPr>
      <w:r>
        <w:rPr>
          <w:rFonts w:hint="eastAsia" w:ascii="宋体" w:hAnsi="宋体"/>
        </w:rPr>
        <w:t>二、合同总价：人民币     万元（大写：       ）。此价格为包干价，包含产品费用、运输费用、安装费用、调试费用、培训费用、16%的增值税等项目验收合格、交付渝新公司使用前的一切税费及3年质保期内相关费用等。</w:t>
      </w:r>
    </w:p>
    <w:p>
      <w:pPr>
        <w:ind w:firstLine="420" w:firstLineChars="200"/>
        <w:rPr>
          <w:rFonts w:ascii="宋体" w:hAnsi="宋体"/>
        </w:rPr>
      </w:pPr>
      <w:r>
        <w:rPr>
          <w:rFonts w:hint="eastAsia" w:ascii="宋体" w:hAnsi="宋体"/>
        </w:rPr>
        <w:t>三、交货及安装调试时间：</w:t>
      </w:r>
    </w:p>
    <w:p>
      <w:pPr>
        <w:ind w:firstLine="420" w:firstLineChars="200"/>
        <w:rPr>
          <w:rFonts w:ascii="宋体" w:hAnsi="宋体"/>
        </w:rPr>
      </w:pPr>
      <w:r>
        <w:rPr>
          <w:rFonts w:hint="eastAsia" w:ascii="宋体" w:hAnsi="宋体"/>
        </w:rPr>
        <w:t>1、2018年8月28日前完成全部设备的供货、安装调试，并确保验收合格、投入正常运行；</w:t>
      </w:r>
    </w:p>
    <w:p>
      <w:pPr>
        <w:ind w:firstLine="420" w:firstLineChars="200"/>
        <w:rPr>
          <w:rFonts w:ascii="宋体" w:hAnsi="宋体"/>
        </w:rPr>
      </w:pPr>
      <w:r>
        <w:rPr>
          <w:rFonts w:hint="eastAsia" w:ascii="宋体" w:hAnsi="宋体"/>
        </w:rPr>
        <w:t>2、安装调试过程中，需方应积极配合。</w:t>
      </w:r>
    </w:p>
    <w:p>
      <w:pPr>
        <w:ind w:firstLine="420" w:firstLineChars="200"/>
        <w:rPr>
          <w:rFonts w:ascii="宋体" w:hAnsi="宋体"/>
        </w:rPr>
      </w:pPr>
      <w:r>
        <w:rPr>
          <w:rFonts w:hint="eastAsia" w:ascii="宋体" w:hAnsi="宋体"/>
        </w:rPr>
        <w:t>四、交货及安装调试地点：需方指定地点（重庆辖区内）。</w:t>
      </w:r>
    </w:p>
    <w:p>
      <w:pPr>
        <w:ind w:firstLine="420" w:firstLineChars="200"/>
        <w:rPr>
          <w:rFonts w:ascii="宋体" w:hAnsi="宋体"/>
        </w:rPr>
      </w:pPr>
      <w:r>
        <w:rPr>
          <w:rFonts w:hint="eastAsia" w:ascii="宋体" w:hAnsi="宋体"/>
        </w:rPr>
        <w:t>五、产品交货时供方应提供产品生产厂家的项目授权书和售后服务承诺函。</w:t>
      </w:r>
    </w:p>
    <w:p>
      <w:pPr>
        <w:ind w:firstLine="420" w:firstLineChars="200"/>
        <w:rPr>
          <w:rFonts w:ascii="宋体" w:hAnsi="宋体"/>
        </w:rPr>
      </w:pPr>
      <w:r>
        <w:rPr>
          <w:rFonts w:hint="eastAsia" w:ascii="宋体" w:hAnsi="宋体"/>
        </w:rPr>
        <w:t>六、产品运行技术要求：</w:t>
      </w:r>
    </w:p>
    <w:p>
      <w:pPr>
        <w:ind w:firstLine="420" w:firstLineChars="200"/>
        <w:rPr>
          <w:rFonts w:ascii="宋体" w:hAnsi="宋体"/>
        </w:rPr>
      </w:pPr>
      <w:r>
        <w:rPr>
          <w:rFonts w:hint="eastAsia" w:ascii="宋体" w:hAnsi="宋体"/>
        </w:rPr>
        <w:t>1、详见附件《高清视频会议系统技术规格书》，同时符合国家和行业相关标准。</w:t>
      </w:r>
    </w:p>
    <w:p>
      <w:pPr>
        <w:ind w:firstLine="420" w:firstLineChars="200"/>
        <w:rPr>
          <w:rFonts w:ascii="宋体" w:hAnsi="宋体"/>
        </w:rPr>
      </w:pPr>
      <w:r>
        <w:rPr>
          <w:rFonts w:hint="eastAsia" w:ascii="宋体" w:hAnsi="宋体"/>
        </w:rPr>
        <w:t>2、供方确认，已对需方上级单位和下级单位现有系统进行充分了解，保证其供应设备与需方上级单位和下级单位现有系统实现融合、连接、配套等，确保产品质量。</w:t>
      </w:r>
    </w:p>
    <w:p>
      <w:pPr>
        <w:ind w:firstLine="420" w:firstLineChars="200"/>
        <w:rPr>
          <w:rFonts w:ascii="宋体" w:hAnsi="宋体"/>
        </w:rPr>
      </w:pPr>
      <w:r>
        <w:rPr>
          <w:rFonts w:hint="eastAsia" w:ascii="宋体" w:hAnsi="宋体"/>
        </w:rPr>
        <w:t>3、所有产品由供方安装、调试、培训等，费用包含在合同总价中。</w:t>
      </w:r>
    </w:p>
    <w:p>
      <w:pPr>
        <w:ind w:firstLine="420" w:firstLineChars="200"/>
        <w:rPr>
          <w:rFonts w:ascii="宋体" w:hAnsi="宋体"/>
        </w:rPr>
      </w:pPr>
      <w:r>
        <w:rPr>
          <w:rFonts w:hint="eastAsia" w:ascii="宋体" w:hAnsi="宋体"/>
        </w:rPr>
        <w:t>4、如需方对主安装地点进行装修，供方应配合需方对装修图纸进行审查，提出修改意见，以确保供方产品的质量和效果。</w:t>
      </w:r>
    </w:p>
    <w:p>
      <w:pPr>
        <w:ind w:firstLine="420" w:firstLineChars="200"/>
        <w:rPr>
          <w:rFonts w:ascii="宋体" w:hAnsi="宋体"/>
        </w:rPr>
      </w:pPr>
      <w:r>
        <w:rPr>
          <w:rFonts w:hint="eastAsia" w:ascii="宋体" w:hAnsi="宋体"/>
        </w:rPr>
        <w:t>七、售后服务及质量保证：</w:t>
      </w:r>
    </w:p>
    <w:p>
      <w:pPr>
        <w:ind w:firstLine="420" w:firstLineChars="200"/>
        <w:rPr>
          <w:rFonts w:ascii="宋体" w:hAnsi="宋体"/>
        </w:rPr>
      </w:pPr>
      <w:r>
        <w:rPr>
          <w:rFonts w:hint="eastAsia" w:ascii="宋体" w:hAnsi="宋体"/>
        </w:rPr>
        <w:t>1、供方对产品的质量及产品安装质量的保证期为3年，从产品安装、调试完成并验收合格之日起计算。</w:t>
      </w:r>
    </w:p>
    <w:p>
      <w:pPr>
        <w:ind w:firstLine="420" w:firstLineChars="200"/>
        <w:rPr>
          <w:rFonts w:ascii="宋体" w:hAnsi="宋体"/>
        </w:rPr>
      </w:pPr>
      <w:r>
        <w:rPr>
          <w:rFonts w:hint="eastAsia" w:ascii="宋体" w:hAnsi="宋体"/>
        </w:rPr>
        <w:t>2、在质量保证期内若出现质量问题，供方应在接到需方通知后4小时内响应，24小时内解决，解决方式包括退货、换货、维修。</w:t>
      </w:r>
    </w:p>
    <w:p>
      <w:pPr>
        <w:ind w:firstLine="420" w:firstLineChars="200"/>
        <w:rPr>
          <w:rFonts w:ascii="宋体" w:hAnsi="宋体"/>
        </w:rPr>
      </w:pPr>
      <w:r>
        <w:rPr>
          <w:rFonts w:hint="eastAsia" w:ascii="宋体" w:hAnsi="宋体"/>
        </w:rPr>
        <w:t>3、质保期内如产品出现问题，由供方免费维修和更换。质保期后应提供技术及服务支持（含系统及系统内的设备扩展、软硬件升级等，并以同行业同期对应材料的6－8折的价格提供产品）。</w:t>
      </w:r>
    </w:p>
    <w:p>
      <w:pPr>
        <w:ind w:firstLine="420" w:firstLineChars="200"/>
        <w:rPr>
          <w:rFonts w:ascii="宋体" w:hAnsi="宋体"/>
        </w:rPr>
      </w:pPr>
      <w:r>
        <w:rPr>
          <w:rFonts w:hint="eastAsia" w:ascii="宋体" w:hAnsi="宋体"/>
        </w:rPr>
        <w:t>八、运输方式及费用负担：运输方式为汽车运输，费用由供方承担。</w:t>
      </w:r>
    </w:p>
    <w:p>
      <w:pPr>
        <w:ind w:firstLine="420" w:firstLineChars="200"/>
        <w:rPr>
          <w:rFonts w:ascii="宋体" w:hAnsi="宋体"/>
        </w:rPr>
      </w:pPr>
      <w:r>
        <w:rPr>
          <w:rFonts w:hint="eastAsia" w:ascii="宋体" w:hAnsi="宋体"/>
        </w:rPr>
        <w:t>九、包装标准供应与回收：采用足以保护产品不受损害的包装，包装不回收。</w:t>
      </w:r>
    </w:p>
    <w:p>
      <w:pPr>
        <w:ind w:firstLine="420" w:firstLineChars="200"/>
        <w:rPr>
          <w:rFonts w:ascii="宋体" w:hAnsi="宋体"/>
        </w:rPr>
      </w:pPr>
      <w:r>
        <w:rPr>
          <w:rFonts w:hint="eastAsia" w:ascii="宋体" w:hAnsi="宋体"/>
        </w:rPr>
        <w:t>十、验收标准及验收方法：安装、调试后，根据附件中的技术要求、国家和行业相关标准进行验收。</w:t>
      </w:r>
    </w:p>
    <w:p>
      <w:pPr>
        <w:ind w:firstLine="420" w:firstLineChars="200"/>
        <w:rPr>
          <w:rFonts w:ascii="宋体" w:hAnsi="宋体"/>
        </w:rPr>
      </w:pPr>
      <w:r>
        <w:rPr>
          <w:rFonts w:hint="eastAsia" w:ascii="宋体" w:hAnsi="宋体"/>
        </w:rPr>
        <w:t>十一、结算方式及结算期限：</w:t>
      </w:r>
    </w:p>
    <w:p>
      <w:pPr>
        <w:ind w:firstLine="420" w:firstLineChars="200"/>
        <w:rPr>
          <w:rFonts w:ascii="宋体" w:hAnsi="宋体"/>
        </w:rPr>
      </w:pPr>
      <w:r>
        <w:rPr>
          <w:rFonts w:hint="eastAsia" w:ascii="宋体" w:hAnsi="宋体"/>
        </w:rPr>
        <w:t>1、全部产品安装调试完毕且验收合格后，支付合同总价的90%。</w:t>
      </w:r>
    </w:p>
    <w:p>
      <w:pPr>
        <w:ind w:firstLine="420" w:firstLineChars="200"/>
        <w:rPr>
          <w:rFonts w:ascii="宋体" w:hAnsi="宋体"/>
        </w:rPr>
      </w:pPr>
      <w:r>
        <w:rPr>
          <w:rFonts w:hint="eastAsia" w:ascii="宋体" w:hAnsi="宋体"/>
        </w:rPr>
        <w:t>2、质保期满1年后，如产品无质量问题或质量问题已处理，支付合同总价的5%，质保期满2年后，如产品无质量问题或质量问题已处理，支付合同总价的3%，质保期满3年后，如产品无质量问题或质量问题已处理，支付合同总价的2%，。</w:t>
      </w:r>
    </w:p>
    <w:p>
      <w:pPr>
        <w:ind w:firstLine="420" w:firstLineChars="200"/>
        <w:rPr>
          <w:rFonts w:ascii="宋体" w:hAnsi="宋体"/>
        </w:rPr>
      </w:pPr>
      <w:r>
        <w:rPr>
          <w:rFonts w:hint="eastAsia" w:ascii="宋体" w:hAnsi="宋体"/>
        </w:rPr>
        <w:t>3、在需方付款前，供方应提供增值税发票。</w:t>
      </w:r>
    </w:p>
    <w:p>
      <w:pPr>
        <w:ind w:firstLine="420" w:firstLineChars="200"/>
        <w:rPr>
          <w:rFonts w:ascii="宋体" w:hAnsi="宋体"/>
        </w:rPr>
      </w:pPr>
      <w:r>
        <w:rPr>
          <w:rFonts w:hint="eastAsia" w:ascii="宋体" w:hAnsi="宋体"/>
        </w:rPr>
        <w:t>4、支付方式为转帐或银行承兑汇票。</w:t>
      </w:r>
    </w:p>
    <w:p>
      <w:pPr>
        <w:ind w:firstLine="420" w:firstLineChars="200"/>
        <w:rPr>
          <w:rFonts w:ascii="宋体" w:hAnsi="宋体"/>
        </w:rPr>
      </w:pPr>
      <w:r>
        <w:rPr>
          <w:rFonts w:hint="eastAsia" w:ascii="宋体" w:hAnsi="宋体"/>
        </w:rPr>
        <w:t>十二、在本合同签订后3天内，供方应提供金额为合同总价5%的履约保证金。履约保证金在全部产品安装、调试完毕且验收合格后3天内退还。供方不履约或不完全履约，履约保证金不退还。</w:t>
      </w:r>
    </w:p>
    <w:p>
      <w:pPr>
        <w:ind w:firstLine="420" w:firstLineChars="200"/>
        <w:rPr>
          <w:rFonts w:ascii="宋体" w:hAnsi="宋体"/>
        </w:rPr>
      </w:pPr>
      <w:r>
        <w:rPr>
          <w:rFonts w:hint="eastAsia" w:ascii="宋体" w:hAnsi="宋体"/>
        </w:rPr>
        <w:t>十三、供方自行负责供货、安装、调试过程中的安全管理工作，如发生安全事故，由供方自行承担全部责任。</w:t>
      </w:r>
    </w:p>
    <w:p>
      <w:pPr>
        <w:ind w:firstLine="420" w:firstLineChars="200"/>
        <w:rPr>
          <w:rFonts w:ascii="宋体" w:hAnsi="宋体"/>
        </w:rPr>
      </w:pPr>
      <w:r>
        <w:rPr>
          <w:rFonts w:hint="eastAsia" w:ascii="宋体" w:hAnsi="宋体"/>
        </w:rPr>
        <w:t>十四、违约责任：</w:t>
      </w:r>
    </w:p>
    <w:p>
      <w:pPr>
        <w:ind w:firstLine="420" w:firstLineChars="200"/>
        <w:rPr>
          <w:rFonts w:ascii="宋体" w:hAnsi="宋体"/>
        </w:rPr>
      </w:pPr>
      <w:r>
        <w:rPr>
          <w:rFonts w:hint="eastAsia" w:ascii="宋体" w:hAnsi="宋体"/>
        </w:rPr>
        <w:t>1、如供方提供的产品在验收时发现有不满足《高清视频会议系统技术规格书》中带※的任一条款，需方有权解除合同，不支付任何费用，不退还供方缴纳的履约保证金，同时有权要求供方赔偿由此给需方造成的全部损失。</w:t>
      </w:r>
    </w:p>
    <w:p>
      <w:pPr>
        <w:ind w:firstLine="420" w:firstLineChars="200"/>
        <w:rPr>
          <w:rFonts w:ascii="宋体" w:hAnsi="宋体"/>
        </w:rPr>
      </w:pPr>
      <w:r>
        <w:rPr>
          <w:rFonts w:hint="eastAsia" w:ascii="宋体" w:hAnsi="宋体"/>
        </w:rPr>
        <w:t>2、如供方提供的产品在验收时发现有不满足《高清视频会议系统技术规格书》中不带※的条款，每发现一条，应向需方支付违约金3万元，以此类推。如不满足《高清视频会议系统技术规格书》中不带※的条款超过5条且需方认为影响使用效果时，需方有权解除合同，不支付任何费用，不退还供方缴纳的履约保证金，同时有权要求供方赔偿由此给需方造成的全部损失。</w:t>
      </w:r>
    </w:p>
    <w:p>
      <w:pPr>
        <w:ind w:firstLine="420" w:firstLineChars="200"/>
        <w:rPr>
          <w:rFonts w:ascii="宋体" w:hAnsi="宋体"/>
        </w:rPr>
      </w:pPr>
      <w:r>
        <w:rPr>
          <w:rFonts w:hint="eastAsia" w:ascii="宋体" w:hAnsi="宋体"/>
        </w:rPr>
        <w:t>3、如在质保期内供方未能按本合同约定提供售后服务，每发生一次，应向需方支付违约金1万元，以此类推，如发生5次及以上，需方有权要求退货。供方应在收到需方退货通知后5天内全额退还需方货款</w:t>
      </w:r>
    </w:p>
    <w:p>
      <w:pPr>
        <w:ind w:firstLine="420" w:firstLineChars="200"/>
        <w:rPr>
          <w:rFonts w:ascii="宋体" w:hAnsi="宋体"/>
        </w:rPr>
      </w:pPr>
      <w:r>
        <w:rPr>
          <w:rFonts w:hint="eastAsia" w:ascii="宋体" w:hAnsi="宋体"/>
        </w:rPr>
        <w:t>4、如供方逾期完成产品交货、安装、调试，每超一天，支付违约金人民币0.2万元，超过20天后，需方有权解除合同，不退还供方缴纳的履约保证金。</w:t>
      </w:r>
    </w:p>
    <w:p>
      <w:pPr>
        <w:ind w:firstLine="420" w:firstLineChars="200"/>
        <w:rPr>
          <w:rFonts w:ascii="宋体" w:hAnsi="宋体"/>
        </w:rPr>
      </w:pPr>
      <w:r>
        <w:rPr>
          <w:rFonts w:hint="eastAsia" w:ascii="宋体" w:hAnsi="宋体"/>
        </w:rPr>
        <w:t>十五、《高清视频会议系统技术规格书》作为本合同附件，与本合同具有同等法律效力。</w:t>
      </w:r>
    </w:p>
    <w:p>
      <w:pPr>
        <w:ind w:firstLine="420" w:firstLineChars="200"/>
        <w:rPr>
          <w:rFonts w:ascii="宋体" w:hAnsi="宋体"/>
        </w:rPr>
      </w:pPr>
      <w:r>
        <w:rPr>
          <w:rFonts w:hint="eastAsia" w:ascii="宋体" w:hAnsi="宋体"/>
        </w:rPr>
        <w:t>十六 、解决合同纠纷的方式：执行本合同发生争议，由当事人双方协商解决。协商不成，双方均可向合同履行地人民法院提起诉讼。</w:t>
      </w:r>
    </w:p>
    <w:p>
      <w:pPr>
        <w:ind w:firstLine="420" w:firstLineChars="200"/>
        <w:rPr>
          <w:rFonts w:ascii="宋体" w:hAnsi="宋体"/>
        </w:rPr>
      </w:pPr>
      <w:r>
        <w:rPr>
          <w:rFonts w:hint="eastAsia" w:ascii="宋体" w:hAnsi="宋体"/>
        </w:rPr>
        <w:t>十七、本合同一式五份，供方一份，需方四份，具有同等法律效力。</w:t>
      </w:r>
    </w:p>
    <w:p>
      <w:pPr>
        <w:ind w:firstLine="420" w:firstLineChars="200"/>
        <w:rPr>
          <w:rFonts w:ascii="宋体" w:hAnsi="宋体"/>
        </w:rPr>
      </w:pPr>
      <w:r>
        <w:rPr>
          <w:rFonts w:hint="eastAsia" w:ascii="宋体" w:hAnsi="宋体"/>
        </w:rPr>
        <w:t>十八、本合同经双方签字、盖章后生效。</w:t>
      </w:r>
    </w:p>
    <w:p>
      <w:pPr>
        <w:widowControl/>
        <w:ind w:firstLine="105" w:firstLineChars="50"/>
        <w:rPr>
          <w:rFonts w:ascii="宋体" w:hAnsi="宋体"/>
        </w:rPr>
      </w:pPr>
    </w:p>
    <w:p>
      <w:pPr>
        <w:widowControl/>
        <w:ind w:firstLine="105" w:firstLineChars="50"/>
        <w:rPr>
          <w:rFonts w:ascii="宋体" w:hAnsi="宋体"/>
        </w:rPr>
      </w:pPr>
      <w:r>
        <w:rPr>
          <w:rFonts w:ascii="宋体" w:hAnsi="宋体"/>
        </w:rPr>
        <w:t xml:space="preserve">甲方：                           乙方： </w:t>
      </w:r>
    </w:p>
    <w:p>
      <w:pPr>
        <w:widowControl/>
        <w:rPr>
          <w:rFonts w:ascii="宋体" w:hAnsi="宋体"/>
        </w:rPr>
      </w:pPr>
      <w:r>
        <w:rPr>
          <w:rFonts w:ascii="宋体" w:hAnsi="宋体"/>
        </w:rPr>
        <w:t>（盖章）（盖章）</w:t>
      </w:r>
    </w:p>
    <w:p>
      <w:pPr>
        <w:widowControl/>
        <w:rPr>
          <w:rFonts w:ascii="宋体" w:hAnsi="宋体"/>
        </w:rPr>
      </w:pPr>
      <w:r>
        <w:rPr>
          <w:rFonts w:ascii="宋体" w:hAnsi="宋体"/>
        </w:rPr>
        <w:t>法定代表人</w:t>
      </w:r>
      <w:r>
        <w:rPr>
          <w:rFonts w:hint="eastAsia" w:ascii="宋体" w:hAnsi="宋体"/>
        </w:rPr>
        <w:t>或授权代表人</w:t>
      </w:r>
      <w:r>
        <w:rPr>
          <w:rFonts w:ascii="宋体" w:hAnsi="宋体"/>
        </w:rPr>
        <w:t>：    法定或授权代表人：</w:t>
      </w:r>
    </w:p>
    <w:p>
      <w:pPr>
        <w:rPr>
          <w:rFonts w:ascii="宋体" w:hAnsi="宋体"/>
        </w:rPr>
      </w:pPr>
      <w:r>
        <w:rPr>
          <w:rFonts w:ascii="宋体" w:hAnsi="宋体"/>
        </w:rPr>
        <w:t xml:space="preserve">开户银行：               开户银行： </w:t>
      </w:r>
    </w:p>
    <w:p>
      <w:pPr>
        <w:rPr>
          <w:rFonts w:ascii="黑体" w:hAnsi="宋体" w:eastAsia="黑体"/>
          <w:b/>
          <w:bCs/>
          <w:sz w:val="30"/>
          <w:szCs w:val="36"/>
        </w:rPr>
      </w:pPr>
      <w:r>
        <w:rPr>
          <w:rFonts w:hint="eastAsia" w:ascii="宋体" w:hAnsi="宋体"/>
        </w:rPr>
        <w:t>帐号：                           帐号：</w:t>
      </w:r>
    </w:p>
    <w:p>
      <w:pPr>
        <w:ind w:firstLine="420" w:firstLineChars="200"/>
        <w:rPr>
          <w:rFonts w:ascii="宋体" w:hAnsi="宋体"/>
        </w:rPr>
      </w:pPr>
      <w:r>
        <w:rPr>
          <w:rFonts w:hint="eastAsia" w:ascii="宋体" w:hAnsi="宋体"/>
        </w:rPr>
        <w:t xml:space="preserve">  签订时间：</w:t>
      </w:r>
    </w:p>
    <w:p>
      <w:pPr>
        <w:jc w:val="center"/>
        <w:rPr>
          <w:rFonts w:ascii="华文中宋" w:hAnsi="华文中宋" w:eastAsia="华文中宋" w:cs="Arial"/>
          <w:b/>
          <w:bCs/>
          <w:sz w:val="30"/>
          <w:szCs w:val="30"/>
        </w:rPr>
      </w:pPr>
    </w:p>
    <w:p>
      <w:pPr>
        <w:jc w:val="center"/>
        <w:rPr>
          <w:rFonts w:ascii="华文中宋" w:hAnsi="华文中宋" w:eastAsia="华文中宋" w:cs="Arial"/>
          <w:b/>
          <w:bCs/>
          <w:sz w:val="30"/>
          <w:szCs w:val="30"/>
        </w:rPr>
      </w:pPr>
    </w:p>
    <w:p>
      <w:pPr>
        <w:jc w:val="center"/>
      </w:pPr>
      <w:r>
        <w:rPr>
          <w:rFonts w:hint="eastAsia" w:ascii="华文中宋" w:hAnsi="华文中宋" w:eastAsia="华文中宋" w:cs="Arial"/>
          <w:b/>
          <w:bCs/>
          <w:sz w:val="30"/>
          <w:szCs w:val="30"/>
        </w:rPr>
        <w:t xml:space="preserve">第四部份  </w:t>
      </w:r>
      <w:r>
        <w:rPr>
          <w:rFonts w:hint="eastAsia" w:ascii="宋体" w:hAnsi="宋体" w:cs="宋体"/>
          <w:b/>
          <w:bCs/>
          <w:kern w:val="0"/>
          <w:sz w:val="28"/>
          <w:szCs w:val="28"/>
        </w:rPr>
        <w:t>高清视频会议系统技术规格书</w:t>
      </w:r>
    </w:p>
    <w:p/>
    <w:p/>
    <w:p>
      <w:pPr>
        <w:rPr>
          <w:sz w:val="24"/>
        </w:rPr>
      </w:pPr>
      <w:r>
        <w:rPr>
          <w:rFonts w:hint="eastAsia"/>
          <w:sz w:val="24"/>
        </w:rPr>
        <w:t>具体内容见附件：</w:t>
      </w:r>
    </w:p>
    <w:p/>
    <w:p>
      <w:pPr>
        <w:snapToGrid w:val="0"/>
        <w:ind w:firstLine="420" w:firstLineChars="200"/>
        <w:rPr>
          <w:rFonts w:ascii="宋体" w:hAnsi="宋体" w:cs="宋体"/>
          <w:color w:val="000000"/>
          <w:kern w:val="0"/>
        </w:rPr>
      </w:pPr>
      <w:r>
        <w:rPr>
          <w:rFonts w:hint="eastAsia" w:ascii="宋体" w:hAnsi="宋体" w:cs="宋体"/>
          <w:color w:val="000000"/>
          <w:kern w:val="0"/>
        </w:rPr>
        <w:t>第五部份    评审标准</w:t>
      </w:r>
    </w:p>
    <w:p>
      <w:pPr>
        <w:snapToGrid w:val="0"/>
        <w:ind w:firstLine="420" w:firstLineChars="200"/>
        <w:rPr>
          <w:rFonts w:ascii="宋体" w:hAnsi="宋体" w:cs="宋体"/>
          <w:color w:val="000000"/>
          <w:kern w:val="0"/>
        </w:rPr>
      </w:pPr>
      <w:r>
        <w:rPr>
          <w:rFonts w:hint="eastAsia" w:ascii="宋体" w:hAnsi="宋体" w:cs="宋体"/>
          <w:color w:val="000000"/>
          <w:kern w:val="0"/>
        </w:rPr>
        <w:t>一、邀请人将组建评审委员会对参选人的比选文件进行评审。</w:t>
      </w:r>
    </w:p>
    <w:p>
      <w:pPr>
        <w:snapToGrid w:val="0"/>
        <w:ind w:firstLine="420" w:firstLineChars="200"/>
        <w:rPr>
          <w:rFonts w:ascii="宋体" w:hAnsi="宋体" w:cs="宋体"/>
          <w:color w:val="000000"/>
          <w:kern w:val="0"/>
        </w:rPr>
      </w:pPr>
      <w:r>
        <w:rPr>
          <w:rFonts w:hint="eastAsia" w:ascii="宋体" w:hAnsi="宋体" w:cs="宋体"/>
          <w:color w:val="000000"/>
          <w:kern w:val="0"/>
        </w:rPr>
        <w:t>不满足《高清视频会议系统技术规格书》中带※的任一条款，参选人的产品将被拒绝。</w:t>
      </w:r>
    </w:p>
    <w:p>
      <w:pPr>
        <w:snapToGrid w:val="0"/>
        <w:ind w:firstLine="420" w:firstLineChars="200"/>
        <w:rPr>
          <w:rFonts w:ascii="宋体" w:hAnsi="宋体" w:cs="宋体"/>
          <w:color w:val="000000"/>
          <w:kern w:val="0"/>
        </w:rPr>
      </w:pPr>
      <w:r>
        <w:rPr>
          <w:rFonts w:hint="eastAsia" w:ascii="宋体" w:hAnsi="宋体" w:cs="宋体"/>
          <w:color w:val="000000"/>
          <w:kern w:val="0"/>
        </w:rPr>
        <w:t>评审委员会将对参选人的参选资料进行评审，在充分考虑参选人报价的基础，综合其它因素，向邀请人推荐三名中选候选人。邀请</w:t>
      </w:r>
      <w:r>
        <w:rPr>
          <w:rFonts w:ascii="宋体" w:hAnsi="宋体" w:cs="宋体"/>
          <w:color w:val="000000"/>
          <w:kern w:val="0"/>
        </w:rPr>
        <w:t>人</w:t>
      </w:r>
      <w:r>
        <w:rPr>
          <w:rFonts w:hint="eastAsia" w:ascii="宋体" w:hAnsi="宋体" w:cs="宋体"/>
          <w:color w:val="000000"/>
          <w:kern w:val="0"/>
        </w:rPr>
        <w:t>从评委组推荐的3名中选候选人中确定1名中选人。</w:t>
      </w:r>
    </w:p>
    <w:p>
      <w:pPr>
        <w:snapToGrid w:val="0"/>
        <w:ind w:firstLine="420" w:firstLineChars="200"/>
        <w:rPr>
          <w:rFonts w:ascii="宋体" w:hAnsi="宋体" w:cs="宋体"/>
          <w:color w:val="000000"/>
          <w:kern w:val="0"/>
        </w:rPr>
      </w:pPr>
      <w:r>
        <w:rPr>
          <w:rFonts w:hint="eastAsia" w:ascii="宋体" w:hAnsi="宋体" w:cs="宋体"/>
          <w:color w:val="000000"/>
          <w:kern w:val="0"/>
        </w:rPr>
        <w:t>二、无效参选文件</w:t>
      </w:r>
    </w:p>
    <w:p>
      <w:pPr>
        <w:snapToGrid w:val="0"/>
        <w:ind w:firstLine="420" w:firstLineChars="200"/>
        <w:rPr>
          <w:rFonts w:ascii="宋体" w:hAnsi="宋体" w:cs="宋体"/>
          <w:color w:val="000000"/>
          <w:kern w:val="0"/>
        </w:rPr>
      </w:pPr>
      <w:r>
        <w:rPr>
          <w:rFonts w:hint="eastAsia" w:ascii="宋体" w:hAnsi="宋体" w:cs="宋体"/>
          <w:color w:val="000000"/>
          <w:kern w:val="0"/>
        </w:rPr>
        <w:t>评选委员会评审时，参选人或其参选文件出现下列情况之一者，应为无效参选：</w:t>
      </w:r>
    </w:p>
    <w:p>
      <w:pPr>
        <w:snapToGrid w:val="0"/>
        <w:ind w:firstLine="420" w:firstLineChars="200"/>
        <w:rPr>
          <w:rFonts w:ascii="宋体" w:hAnsi="宋体" w:cs="宋体"/>
          <w:color w:val="000000"/>
          <w:kern w:val="0"/>
        </w:rPr>
      </w:pPr>
      <w:r>
        <w:rPr>
          <w:rFonts w:hint="eastAsia" w:ascii="宋体" w:hAnsi="宋体" w:cs="宋体"/>
          <w:color w:val="000000"/>
          <w:kern w:val="0"/>
        </w:rPr>
        <w:t>1、参选人未按竞争性比选文件规定提交足额参选保证金的。</w:t>
      </w:r>
    </w:p>
    <w:p>
      <w:pPr>
        <w:snapToGrid w:val="0"/>
        <w:ind w:firstLine="420" w:firstLineChars="200"/>
        <w:rPr>
          <w:rFonts w:ascii="宋体" w:hAnsi="宋体" w:cs="宋体"/>
          <w:color w:val="000000"/>
          <w:kern w:val="0"/>
        </w:rPr>
      </w:pPr>
      <w:r>
        <w:rPr>
          <w:rFonts w:hint="eastAsia" w:ascii="宋体" w:hAnsi="宋体" w:cs="宋体"/>
          <w:color w:val="000000"/>
          <w:kern w:val="0"/>
        </w:rPr>
        <w:t>2、参选人不具备竞争性比选文件规定的资格要求的。</w:t>
      </w:r>
    </w:p>
    <w:p>
      <w:pPr>
        <w:snapToGrid w:val="0"/>
        <w:ind w:firstLine="420" w:firstLineChars="200"/>
        <w:rPr>
          <w:rFonts w:ascii="宋体" w:hAnsi="宋体"/>
          <w:color w:val="000000"/>
        </w:rPr>
      </w:pPr>
      <w:r>
        <w:rPr>
          <w:rFonts w:hint="eastAsia" w:ascii="宋体" w:hAnsi="宋体"/>
          <w:color w:val="000000"/>
        </w:rPr>
        <w:t>3、参选文件出现多个参选方案或参选报价的。</w:t>
      </w:r>
    </w:p>
    <w:p>
      <w:pPr>
        <w:snapToGrid w:val="0"/>
        <w:ind w:firstLine="420" w:firstLineChars="200"/>
        <w:rPr>
          <w:rFonts w:ascii="宋体" w:hAnsi="宋体"/>
          <w:color w:val="000000"/>
        </w:rPr>
      </w:pPr>
      <w:r>
        <w:rPr>
          <w:rFonts w:hint="eastAsia" w:ascii="宋体" w:hAnsi="宋体"/>
          <w:color w:val="000000"/>
        </w:rPr>
        <w:t>4、参选报价高于竞争性比选文件规定的参选最高限价的。</w:t>
      </w:r>
    </w:p>
    <w:p>
      <w:pPr>
        <w:snapToGrid w:val="0"/>
        <w:ind w:firstLine="420" w:firstLineChars="200"/>
        <w:rPr>
          <w:rFonts w:ascii="宋体" w:hAnsi="宋体"/>
          <w:color w:val="000000"/>
        </w:rPr>
      </w:pPr>
      <w:r>
        <w:rPr>
          <w:rFonts w:hint="eastAsia" w:ascii="宋体" w:hAnsi="宋体"/>
          <w:color w:val="000000"/>
        </w:rPr>
        <w:t>5、不符合本比选文件要求的资质条件的。</w:t>
      </w:r>
    </w:p>
    <w:p>
      <w:pPr>
        <w:ind w:firstLine="2699" w:firstLineChars="896"/>
        <w:rPr>
          <w:rFonts w:ascii="宋体" w:hAnsi="宋体"/>
          <w:b/>
          <w:bCs/>
          <w:sz w:val="30"/>
          <w:szCs w:val="36"/>
        </w:rPr>
      </w:pPr>
    </w:p>
    <w:p>
      <w:pPr>
        <w:ind w:firstLine="2699" w:firstLineChars="896"/>
        <w:rPr>
          <w:rFonts w:ascii="宋体" w:hAnsi="宋体"/>
          <w:b/>
          <w:bCs/>
          <w:sz w:val="30"/>
          <w:szCs w:val="36"/>
        </w:rPr>
      </w:pPr>
    </w:p>
    <w:p>
      <w:pPr>
        <w:ind w:firstLine="2699" w:firstLineChars="896"/>
        <w:rPr>
          <w:rFonts w:ascii="宋体" w:hAnsi="宋体"/>
          <w:b/>
          <w:bCs/>
          <w:sz w:val="30"/>
        </w:rPr>
      </w:pPr>
      <w:r>
        <w:rPr>
          <w:rFonts w:hint="eastAsia" w:ascii="宋体" w:hAnsi="宋体"/>
          <w:b/>
          <w:bCs/>
          <w:sz w:val="30"/>
          <w:szCs w:val="36"/>
        </w:rPr>
        <w:t>第六部份　</w:t>
      </w:r>
      <w:r>
        <w:rPr>
          <w:rFonts w:hint="eastAsia" w:ascii="宋体" w:hAnsi="宋体"/>
          <w:b/>
          <w:bCs/>
          <w:sz w:val="30"/>
        </w:rPr>
        <w:t>参选文件格式</w:t>
      </w:r>
    </w:p>
    <w:p>
      <w:pPr>
        <w:jc w:val="center"/>
        <w:rPr>
          <w:rFonts w:ascii="宋体" w:hAnsi="宋体"/>
          <w:b/>
          <w:szCs w:val="21"/>
        </w:rPr>
      </w:pPr>
    </w:p>
    <w:p>
      <w:pPr>
        <w:jc w:val="center"/>
        <w:rPr>
          <w:rFonts w:ascii="宋体" w:hAnsi="宋体"/>
          <w:b/>
          <w:szCs w:val="21"/>
        </w:rPr>
      </w:pPr>
    </w:p>
    <w:p>
      <w:pPr>
        <w:jc w:val="center"/>
        <w:rPr>
          <w:rFonts w:ascii="宋体" w:hAnsi="宋体"/>
          <w:b/>
          <w:sz w:val="52"/>
          <w:szCs w:val="52"/>
        </w:rPr>
      </w:pPr>
      <w:r>
        <w:rPr>
          <w:rFonts w:hint="eastAsia" w:ascii="宋体" w:hAnsi="宋体"/>
          <w:b/>
          <w:sz w:val="52"/>
          <w:szCs w:val="52"/>
        </w:rPr>
        <w:t>参选文件</w:t>
      </w:r>
    </w:p>
    <w:p>
      <w:pPr>
        <w:ind w:firstLine="1830"/>
        <w:rPr>
          <w:rFonts w:ascii="宋体" w:hAnsi="宋体"/>
          <w:szCs w:val="21"/>
        </w:rPr>
      </w:pPr>
    </w:p>
    <w:p>
      <w:pPr>
        <w:spacing w:line="360" w:lineRule="auto"/>
        <w:ind w:firstLine="840" w:firstLineChars="400"/>
        <w:rPr>
          <w:rFonts w:ascii="宋体" w:hAnsi="宋体"/>
          <w:szCs w:val="21"/>
        </w:rPr>
      </w:pPr>
      <w:r>
        <w:rPr>
          <w:rFonts w:hint="eastAsia" w:ascii="宋体" w:hAnsi="宋体"/>
          <w:szCs w:val="21"/>
        </w:rPr>
        <w:t>参选项目名称：</w:t>
      </w:r>
    </w:p>
    <w:p>
      <w:pPr>
        <w:spacing w:line="360" w:lineRule="auto"/>
        <w:rPr>
          <w:rFonts w:ascii="宋体" w:hAnsi="宋体"/>
          <w:szCs w:val="21"/>
        </w:rPr>
      </w:pPr>
    </w:p>
    <w:p>
      <w:pPr>
        <w:spacing w:line="360" w:lineRule="auto"/>
        <w:ind w:firstLine="840" w:firstLineChars="400"/>
        <w:rPr>
          <w:rFonts w:ascii="宋体" w:hAnsi="宋体"/>
          <w:szCs w:val="21"/>
        </w:rPr>
      </w:pPr>
      <w:r>
        <w:rPr>
          <w:rFonts w:hint="eastAsia" w:ascii="宋体" w:hAnsi="宋体"/>
          <w:szCs w:val="21"/>
        </w:rPr>
        <w:t>参选单位名称：</w:t>
      </w:r>
    </w:p>
    <w:p>
      <w:pPr>
        <w:spacing w:line="360" w:lineRule="auto"/>
        <w:ind w:firstLine="420" w:firstLineChars="200"/>
        <w:rPr>
          <w:rFonts w:ascii="宋体" w:hAnsi="宋体"/>
          <w:szCs w:val="21"/>
        </w:rPr>
      </w:pPr>
    </w:p>
    <w:p>
      <w:pPr>
        <w:spacing w:line="360" w:lineRule="auto"/>
        <w:ind w:firstLine="840" w:firstLineChars="400"/>
        <w:rPr>
          <w:rFonts w:ascii="宋体" w:hAnsi="宋体"/>
          <w:szCs w:val="21"/>
        </w:rPr>
      </w:pPr>
      <w:r>
        <w:rPr>
          <w:rFonts w:hint="eastAsia" w:ascii="宋体" w:hAnsi="宋体"/>
          <w:szCs w:val="21"/>
        </w:rPr>
        <w:t>参选单位法定代表人或授权代表：</w:t>
      </w:r>
    </w:p>
    <w:p>
      <w:pPr>
        <w:spacing w:line="360" w:lineRule="auto"/>
        <w:ind w:firstLine="420" w:firstLineChars="200"/>
        <w:rPr>
          <w:rFonts w:ascii="宋体" w:hAnsi="宋体"/>
          <w:szCs w:val="21"/>
        </w:rPr>
      </w:pPr>
    </w:p>
    <w:p>
      <w:pPr>
        <w:spacing w:line="360" w:lineRule="auto"/>
        <w:ind w:firstLine="3570" w:firstLineChars="1700"/>
        <w:rPr>
          <w:rFonts w:ascii="宋体" w:hAnsi="宋体"/>
          <w:szCs w:val="21"/>
        </w:rPr>
      </w:pPr>
      <w:r>
        <w:rPr>
          <w:rFonts w:hint="eastAsia" w:ascii="宋体" w:hAnsi="宋体"/>
          <w:szCs w:val="21"/>
        </w:rPr>
        <w:t>（参选单位公章）</w:t>
      </w:r>
    </w:p>
    <w:p>
      <w:pPr>
        <w:ind w:firstLine="3570" w:firstLineChars="1700"/>
        <w:rPr>
          <w:rFonts w:ascii="宋体" w:hAnsi="宋体"/>
          <w:szCs w:val="21"/>
        </w:rPr>
      </w:pPr>
      <w:r>
        <w:rPr>
          <w:rFonts w:hint="eastAsia" w:ascii="宋体" w:hAnsi="宋体"/>
          <w:szCs w:val="21"/>
        </w:rPr>
        <w:t>2018年月日</w:t>
      </w: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Pr>
        <w:ind w:firstLine="1830"/>
        <w:rPr>
          <w:rFonts w:ascii="宋体" w:hAnsi="宋体"/>
          <w:szCs w:val="21"/>
        </w:rPr>
      </w:pPr>
    </w:p>
    <w:p/>
    <w:p/>
    <w:p/>
    <w:p>
      <w:pPr>
        <w:rPr>
          <w:szCs w:val="21"/>
        </w:rPr>
      </w:pPr>
    </w:p>
    <w:p>
      <w:pPr>
        <w:rPr>
          <w:szCs w:val="21"/>
        </w:rPr>
      </w:pPr>
    </w:p>
    <w:p>
      <w:pPr>
        <w:rPr>
          <w:szCs w:val="21"/>
        </w:rPr>
      </w:pPr>
    </w:p>
    <w:p>
      <w:pPr>
        <w:rPr>
          <w:szCs w:val="21"/>
        </w:rPr>
      </w:pPr>
    </w:p>
    <w:p>
      <w:pPr>
        <w:rPr>
          <w:szCs w:val="21"/>
        </w:rPr>
      </w:pPr>
    </w:p>
    <w:p>
      <w:pPr>
        <w:jc w:val="center"/>
        <w:rPr>
          <w:b/>
          <w:sz w:val="24"/>
        </w:rPr>
      </w:pPr>
      <w:r>
        <w:rPr>
          <w:rFonts w:hint="eastAsia"/>
          <w:b/>
          <w:sz w:val="24"/>
        </w:rPr>
        <w:t>目录</w:t>
      </w:r>
    </w:p>
    <w:p>
      <w:pPr>
        <w:rPr>
          <w:szCs w:val="21"/>
        </w:rPr>
      </w:pPr>
    </w:p>
    <w:p>
      <w:pPr>
        <w:rPr>
          <w:szCs w:val="21"/>
        </w:rPr>
      </w:pPr>
    </w:p>
    <w:p>
      <w:pPr>
        <w:ind w:firstLine="2939" w:firstLineChars="1394"/>
        <w:rPr>
          <w:rFonts w:ascii="宋体" w:hAnsi="宋体"/>
          <w:b/>
          <w:bCs/>
          <w:szCs w:val="21"/>
        </w:rPr>
      </w:pPr>
      <w:r>
        <w:rPr>
          <w:rFonts w:hint="eastAsia" w:ascii="宋体" w:hAnsi="宋体"/>
          <w:b/>
          <w:bCs/>
          <w:szCs w:val="21"/>
        </w:rPr>
        <w:t>由参选人自行根据其参选文件编写。</w:t>
      </w: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jc w:val="center"/>
        <w:rPr>
          <w:rFonts w:ascii="黑体" w:hAnsi="宋体" w:eastAsia="黑体"/>
          <w:b/>
          <w:bCs/>
          <w:szCs w:val="21"/>
        </w:rPr>
      </w:pPr>
    </w:p>
    <w:p>
      <w:pPr>
        <w:tabs>
          <w:tab w:val="left" w:pos="6300"/>
        </w:tabs>
        <w:snapToGrid w:val="0"/>
        <w:spacing w:line="400" w:lineRule="exact"/>
        <w:jc w:val="center"/>
        <w:outlineLvl w:val="2"/>
        <w:rPr>
          <w:rFonts w:ascii="华文中宋" w:hAnsi="华文中宋" w:eastAsia="华文中宋"/>
          <w:b/>
          <w:szCs w:val="21"/>
        </w:rPr>
      </w:pPr>
      <w:r>
        <w:rPr>
          <w:rFonts w:hint="eastAsia" w:ascii="黑体" w:hAnsi="宋体" w:eastAsia="黑体"/>
          <w:b/>
          <w:bCs/>
          <w:szCs w:val="21"/>
        </w:rPr>
        <w:t>一、</w:t>
      </w:r>
      <w:r>
        <w:rPr>
          <w:rFonts w:hint="eastAsia" w:ascii="华文中宋" w:hAnsi="华文中宋" w:eastAsia="华文中宋"/>
          <w:b/>
          <w:szCs w:val="21"/>
        </w:rPr>
        <w:t>报价函</w:t>
      </w:r>
    </w:p>
    <w:p>
      <w:pPr>
        <w:tabs>
          <w:tab w:val="left" w:pos="6300"/>
        </w:tabs>
        <w:snapToGrid w:val="0"/>
        <w:spacing w:line="400" w:lineRule="exact"/>
        <w:rPr>
          <w:rFonts w:ascii="华文中宋" w:hAnsi="华文中宋" w:eastAsia="华文中宋"/>
          <w:szCs w:val="21"/>
        </w:rPr>
      </w:pPr>
      <w:r>
        <w:rPr>
          <w:rFonts w:hint="eastAsia" w:ascii="华文中宋" w:hAnsi="华文中宋" w:eastAsia="华文中宋"/>
          <w:szCs w:val="21"/>
        </w:rPr>
        <w:t>致</w:t>
      </w:r>
      <w:r>
        <w:rPr>
          <w:rFonts w:hint="eastAsia" w:ascii="华文中宋" w:hAnsi="华文中宋" w:eastAsia="华文中宋"/>
          <w:szCs w:val="21"/>
          <w:u w:val="single"/>
        </w:rPr>
        <w:t xml:space="preserve">：                     </w:t>
      </w:r>
    </w:p>
    <w:p>
      <w:pPr>
        <w:tabs>
          <w:tab w:val="left" w:pos="6300"/>
        </w:tabs>
        <w:snapToGrid w:val="0"/>
        <w:spacing w:line="400" w:lineRule="exact"/>
        <w:ind w:firstLine="570"/>
        <w:rPr>
          <w:rFonts w:ascii="华文中宋" w:hAnsi="华文中宋" w:eastAsia="华文中宋"/>
          <w:szCs w:val="21"/>
        </w:rPr>
      </w:pPr>
      <w:r>
        <w:rPr>
          <w:rFonts w:hint="eastAsia" w:ascii="华文中宋" w:hAnsi="华文中宋" w:eastAsia="华文中宋"/>
          <w:szCs w:val="21"/>
        </w:rPr>
        <w:t>我方收到贵方（项目</w:t>
      </w:r>
      <w:r>
        <w:rPr>
          <w:rFonts w:ascii="华文中宋" w:hAnsi="华文中宋" w:eastAsia="华文中宋"/>
          <w:szCs w:val="21"/>
        </w:rPr>
        <w:t>名称</w:t>
      </w:r>
      <w:r>
        <w:rPr>
          <w:rFonts w:hint="eastAsia" w:ascii="华文中宋" w:hAnsi="华文中宋" w:eastAsia="华文中宋"/>
          <w:szCs w:val="21"/>
        </w:rPr>
        <w:t>）</w:t>
      </w:r>
      <w:r>
        <w:rPr>
          <w:rFonts w:hint="eastAsia" w:ascii="华文中宋" w:hAnsi="华文中宋" w:eastAsia="华文中宋"/>
          <w:szCs w:val="21"/>
          <w:u w:val="single"/>
        </w:rPr>
        <w:t>高清视频会议系统项目采购</w:t>
      </w:r>
      <w:r>
        <w:rPr>
          <w:rFonts w:hint="eastAsia" w:ascii="华文中宋" w:hAnsi="华文中宋" w:eastAsia="华文中宋"/>
          <w:szCs w:val="21"/>
        </w:rPr>
        <w:t>的竞争性比选文件，经详细研究，决定参加该项目的竞争性比选。</w:t>
      </w:r>
    </w:p>
    <w:p>
      <w:pPr>
        <w:tabs>
          <w:tab w:val="left" w:pos="6300"/>
        </w:tabs>
        <w:snapToGrid w:val="0"/>
        <w:spacing w:line="400" w:lineRule="exact"/>
        <w:ind w:left="80" w:leftChars="38" w:firstLine="526" w:firstLineChars="250"/>
        <w:rPr>
          <w:rFonts w:ascii="华文中宋" w:hAnsi="华文中宋" w:eastAsia="华文中宋"/>
          <w:b/>
          <w:szCs w:val="21"/>
        </w:rPr>
      </w:pPr>
      <w:r>
        <w:rPr>
          <w:rFonts w:hint="eastAsia" w:ascii="华文中宋" w:hAnsi="华文中宋" w:eastAsia="华文中宋"/>
          <w:b/>
          <w:szCs w:val="21"/>
        </w:rPr>
        <w:t>1、愿意按照比选文件中的一切要求，提供完成本项目服务范围内的所有工作，总报价为人民币大写：；人民币小写RMB：</w:t>
      </w:r>
      <w:r>
        <w:rPr>
          <w:rFonts w:hint="eastAsia" w:ascii="华文中宋" w:hAnsi="华文中宋" w:eastAsia="华文中宋"/>
          <w:b/>
          <w:szCs w:val="21"/>
          <w:u w:val="single"/>
        </w:rPr>
        <w:t xml:space="preserve">             。</w:t>
      </w:r>
      <w:r>
        <w:rPr>
          <w:rFonts w:hint="eastAsia" w:ascii="华文中宋" w:hAnsi="华文中宋" w:eastAsia="华文中宋"/>
          <w:b/>
          <w:szCs w:val="21"/>
        </w:rPr>
        <w:t>质保期为三年，从全部产品安装、调试完毕且验收验收合格之日起计算。</w:t>
      </w:r>
    </w:p>
    <w:p>
      <w:pPr>
        <w:tabs>
          <w:tab w:val="left" w:pos="6300"/>
        </w:tabs>
        <w:snapToGrid w:val="0"/>
        <w:spacing w:line="400" w:lineRule="exact"/>
        <w:ind w:firstLine="570"/>
        <w:rPr>
          <w:rFonts w:ascii="华文中宋" w:hAnsi="华文中宋" w:eastAsia="华文中宋"/>
          <w:szCs w:val="21"/>
        </w:rPr>
      </w:pPr>
      <w:r>
        <w:rPr>
          <w:rFonts w:hint="eastAsia" w:ascii="华文中宋" w:hAnsi="华文中宋" w:eastAsia="华文中宋"/>
          <w:szCs w:val="21"/>
        </w:rPr>
        <w:t>2、我们现提交的参选文件：正本  份，副本  份，电子文本   份。</w:t>
      </w:r>
    </w:p>
    <w:p>
      <w:pPr>
        <w:spacing w:line="400" w:lineRule="exact"/>
        <w:ind w:firstLine="555"/>
        <w:rPr>
          <w:rFonts w:ascii="华文中宋" w:hAnsi="华文中宋" w:eastAsia="华文中宋"/>
          <w:szCs w:val="21"/>
        </w:rPr>
      </w:pPr>
      <w:r>
        <w:rPr>
          <w:rFonts w:hint="eastAsia" w:ascii="华文中宋" w:hAnsi="华文中宋" w:eastAsia="华文中宋"/>
          <w:szCs w:val="21"/>
        </w:rPr>
        <w:t>3、我们完全理解和接受贵方比选文件的一切规定和要求，完全答应比选文件中规定的所有条件和评审办法。</w:t>
      </w:r>
    </w:p>
    <w:p>
      <w:pPr>
        <w:spacing w:line="400" w:lineRule="exact"/>
        <w:ind w:firstLine="555"/>
        <w:rPr>
          <w:rFonts w:ascii="华文中宋" w:hAnsi="华文中宋" w:eastAsia="华文中宋"/>
          <w:szCs w:val="21"/>
        </w:rPr>
      </w:pPr>
      <w:r>
        <w:rPr>
          <w:rFonts w:hint="eastAsia" w:ascii="华文中宋" w:hAnsi="华文中宋" w:eastAsia="华文中宋"/>
          <w:szCs w:val="21"/>
        </w:rPr>
        <w:t>4、在整个比选过程中，我方若有违规行为，贵方可参照《中华人民共和招标投标法》等法律法规和比选文件之规定给予惩罚，我方完全接受。</w:t>
      </w:r>
    </w:p>
    <w:p>
      <w:pPr>
        <w:spacing w:line="400" w:lineRule="exact"/>
        <w:ind w:firstLine="555"/>
        <w:rPr>
          <w:rFonts w:ascii="华文中宋" w:hAnsi="华文中宋" w:eastAsia="华文中宋"/>
          <w:szCs w:val="21"/>
        </w:rPr>
      </w:pPr>
      <w:r>
        <w:rPr>
          <w:rFonts w:hint="eastAsia" w:ascii="华文中宋" w:hAnsi="华文中宋" w:eastAsia="华文中宋"/>
          <w:szCs w:val="21"/>
        </w:rPr>
        <w:t>5、若我们成为中选人，我方将按照评选结果签订合同，并且严格履行合同义务。本报价函将成为合同不可分割的一部分，与合同具有同等的法律效力。</w:t>
      </w:r>
    </w:p>
    <w:p>
      <w:pPr>
        <w:spacing w:line="400" w:lineRule="exact"/>
        <w:ind w:firstLine="555"/>
        <w:rPr>
          <w:rFonts w:ascii="华文中宋" w:hAnsi="华文中宋" w:eastAsia="华文中宋"/>
          <w:szCs w:val="21"/>
        </w:rPr>
      </w:pPr>
      <w:r>
        <w:rPr>
          <w:rFonts w:hint="eastAsia" w:ascii="华文中宋" w:hAnsi="华文中宋" w:eastAsia="华文中宋"/>
          <w:szCs w:val="21"/>
        </w:rPr>
        <w:t>6、我方同意按比选文件规定，交纳比选文件要求的比选保证金。如果我方成为中选人，保证在接到中选通知书时，向贵公司缴纳履约保证金。</w:t>
      </w:r>
    </w:p>
    <w:p>
      <w:pPr>
        <w:spacing w:line="400" w:lineRule="exact"/>
        <w:ind w:firstLine="555"/>
        <w:rPr>
          <w:rFonts w:ascii="华文中宋" w:hAnsi="华文中宋" w:eastAsia="华文中宋"/>
          <w:szCs w:val="21"/>
        </w:rPr>
      </w:pPr>
      <w:r>
        <w:rPr>
          <w:rFonts w:hint="eastAsia" w:ascii="华文中宋" w:hAnsi="华文中宋" w:eastAsia="华文中宋"/>
          <w:szCs w:val="21"/>
        </w:rPr>
        <w:t>7、比选有效期为90日。</w:t>
      </w:r>
    </w:p>
    <w:p>
      <w:pPr>
        <w:tabs>
          <w:tab w:val="left" w:pos="6300"/>
        </w:tabs>
        <w:snapToGrid w:val="0"/>
        <w:spacing w:line="400" w:lineRule="exact"/>
        <w:ind w:firstLine="570"/>
        <w:rPr>
          <w:rFonts w:ascii="华文中宋" w:hAnsi="华文中宋" w:eastAsia="华文中宋"/>
          <w:szCs w:val="21"/>
        </w:rPr>
      </w:pPr>
    </w:p>
    <w:p>
      <w:pPr>
        <w:tabs>
          <w:tab w:val="left" w:pos="6300"/>
        </w:tabs>
        <w:snapToGrid w:val="0"/>
        <w:spacing w:line="400" w:lineRule="exact"/>
        <w:ind w:firstLine="570"/>
        <w:rPr>
          <w:rFonts w:ascii="华文中宋" w:hAnsi="华文中宋" w:eastAsia="华文中宋"/>
          <w:b/>
          <w:szCs w:val="21"/>
        </w:rPr>
      </w:pPr>
      <w:r>
        <w:rPr>
          <w:rFonts w:hint="eastAsia" w:ascii="华文中宋" w:hAnsi="华文中宋" w:eastAsia="华文中宋"/>
          <w:b/>
          <w:szCs w:val="21"/>
        </w:rPr>
        <w:t>参选人（公章）：</w:t>
      </w:r>
    </w:p>
    <w:p>
      <w:pPr>
        <w:spacing w:line="400" w:lineRule="exact"/>
        <w:ind w:firstLine="526" w:firstLineChars="250"/>
        <w:rPr>
          <w:rFonts w:ascii="华文中宋" w:hAnsi="华文中宋" w:eastAsia="华文中宋"/>
          <w:b/>
          <w:szCs w:val="21"/>
        </w:rPr>
      </w:pPr>
      <w:r>
        <w:rPr>
          <w:rFonts w:hint="eastAsia" w:ascii="华文中宋" w:hAnsi="华文中宋" w:eastAsia="华文中宋"/>
          <w:b/>
          <w:szCs w:val="21"/>
        </w:rPr>
        <w:t>法定代表人或其委托代理人：（盖章或签字）</w:t>
      </w:r>
    </w:p>
    <w:p>
      <w:pPr>
        <w:tabs>
          <w:tab w:val="left" w:pos="6300"/>
        </w:tabs>
        <w:snapToGrid w:val="0"/>
        <w:spacing w:line="400" w:lineRule="exact"/>
        <w:ind w:firstLine="570"/>
        <w:rPr>
          <w:rFonts w:ascii="华文中宋" w:hAnsi="华文中宋" w:eastAsia="华文中宋"/>
          <w:szCs w:val="21"/>
        </w:rPr>
      </w:pPr>
      <w:r>
        <w:rPr>
          <w:rFonts w:hint="eastAsia" w:ascii="华文中宋" w:hAnsi="华文中宋" w:eastAsia="华文中宋"/>
          <w:szCs w:val="21"/>
        </w:rPr>
        <w:t xml:space="preserve">地址： </w:t>
      </w:r>
    </w:p>
    <w:p>
      <w:pPr>
        <w:tabs>
          <w:tab w:val="left" w:pos="6300"/>
        </w:tabs>
        <w:snapToGrid w:val="0"/>
        <w:spacing w:line="400" w:lineRule="exact"/>
        <w:ind w:firstLine="570"/>
        <w:rPr>
          <w:rFonts w:ascii="华文中宋" w:hAnsi="华文中宋" w:eastAsia="华文中宋"/>
          <w:szCs w:val="21"/>
        </w:rPr>
      </w:pPr>
      <w:r>
        <w:rPr>
          <w:rFonts w:hint="eastAsia" w:ascii="华文中宋" w:hAnsi="华文中宋" w:eastAsia="华文中宋"/>
          <w:szCs w:val="21"/>
        </w:rPr>
        <w:t>电话：                           传真：</w:t>
      </w:r>
    </w:p>
    <w:p>
      <w:pPr>
        <w:tabs>
          <w:tab w:val="left" w:pos="6300"/>
        </w:tabs>
        <w:snapToGrid w:val="0"/>
        <w:spacing w:line="400" w:lineRule="exact"/>
        <w:ind w:firstLine="570"/>
        <w:rPr>
          <w:rFonts w:ascii="华文中宋" w:hAnsi="华文中宋" w:eastAsia="华文中宋"/>
          <w:szCs w:val="21"/>
        </w:rPr>
      </w:pPr>
      <w:r>
        <w:rPr>
          <w:rFonts w:hint="eastAsia" w:ascii="华文中宋" w:hAnsi="华文中宋" w:eastAsia="华文中宋"/>
          <w:szCs w:val="21"/>
        </w:rPr>
        <w:t>邮编：</w:t>
      </w:r>
    </w:p>
    <w:p>
      <w:pPr>
        <w:tabs>
          <w:tab w:val="left" w:pos="6300"/>
        </w:tabs>
        <w:snapToGrid w:val="0"/>
        <w:spacing w:line="400" w:lineRule="exact"/>
        <w:ind w:firstLine="570"/>
        <w:rPr>
          <w:rFonts w:ascii="华文中宋" w:hAnsi="华文中宋" w:eastAsia="华文中宋"/>
          <w:szCs w:val="21"/>
        </w:rPr>
      </w:pPr>
      <w:r>
        <w:rPr>
          <w:rFonts w:hint="eastAsia" w:ascii="华文中宋" w:hAnsi="华文中宋" w:eastAsia="华文中宋"/>
          <w:szCs w:val="21"/>
        </w:rPr>
        <w:t>联系人：</w:t>
      </w:r>
    </w:p>
    <w:p>
      <w:pPr>
        <w:snapToGrid w:val="0"/>
        <w:spacing w:line="400" w:lineRule="exact"/>
        <w:ind w:firstLine="420" w:firstLineChars="200"/>
        <w:rPr>
          <w:rFonts w:ascii="华文中宋" w:hAnsi="华文中宋" w:eastAsia="华文中宋"/>
          <w:szCs w:val="21"/>
        </w:rPr>
      </w:pPr>
    </w:p>
    <w:p>
      <w:pPr>
        <w:snapToGrid w:val="0"/>
        <w:spacing w:line="400" w:lineRule="exact"/>
        <w:ind w:firstLine="6720" w:firstLineChars="3200"/>
        <w:rPr>
          <w:rFonts w:ascii="华文中宋" w:hAnsi="华文中宋" w:eastAsia="华文中宋"/>
          <w:szCs w:val="21"/>
        </w:rPr>
      </w:pPr>
      <w:r>
        <w:rPr>
          <w:rFonts w:hint="eastAsia" w:ascii="华文中宋" w:hAnsi="华文中宋" w:eastAsia="华文中宋"/>
          <w:szCs w:val="21"/>
        </w:rPr>
        <w:t>年   月   日</w:t>
      </w:r>
    </w:p>
    <w:p>
      <w:pPr>
        <w:spacing w:line="300" w:lineRule="auto"/>
        <w:ind w:firstLine="525" w:firstLineChars="250"/>
        <w:rPr>
          <w:rFonts w:ascii="华文中宋" w:hAnsi="华文中宋" w:eastAsia="华文中宋"/>
        </w:rPr>
      </w:pPr>
      <w:r>
        <w:rPr>
          <w:rFonts w:hint="eastAsia" w:ascii="华文中宋" w:hAnsi="华文中宋" w:eastAsia="华文中宋"/>
        </w:rPr>
        <w:t>注：附分项报价表</w:t>
      </w:r>
    </w:p>
    <w:p>
      <w:pPr>
        <w:spacing w:line="300" w:lineRule="auto"/>
        <w:ind w:firstLine="420" w:firstLineChars="200"/>
        <w:rPr>
          <w:rFonts w:ascii="华文中宋" w:hAnsi="华文中宋" w:eastAsia="华文中宋"/>
        </w:rPr>
      </w:pPr>
    </w:p>
    <w:p>
      <w:pPr>
        <w:spacing w:line="300" w:lineRule="auto"/>
        <w:ind w:firstLine="420" w:firstLineChars="200"/>
        <w:rPr>
          <w:rFonts w:ascii="华文中宋" w:hAnsi="华文中宋" w:eastAsia="华文中宋"/>
        </w:rPr>
      </w:pPr>
    </w:p>
    <w:p>
      <w:pPr>
        <w:spacing w:line="300" w:lineRule="auto"/>
        <w:ind w:firstLine="420" w:firstLineChars="200"/>
        <w:rPr>
          <w:rFonts w:ascii="华文中宋" w:hAnsi="华文中宋" w:eastAsia="华文中宋"/>
        </w:rPr>
      </w:pPr>
    </w:p>
    <w:p>
      <w:pPr>
        <w:spacing w:line="300" w:lineRule="auto"/>
        <w:ind w:firstLine="420" w:firstLineChars="200"/>
        <w:rPr>
          <w:rFonts w:ascii="华文中宋" w:hAnsi="华文中宋" w:eastAsia="华文中宋"/>
        </w:rPr>
      </w:pPr>
    </w:p>
    <w:p>
      <w:pPr>
        <w:spacing w:line="300" w:lineRule="auto"/>
        <w:ind w:firstLine="420" w:firstLineChars="200"/>
        <w:rPr>
          <w:rFonts w:ascii="华文中宋" w:hAnsi="华文中宋" w:eastAsia="华文中宋"/>
        </w:rPr>
      </w:pPr>
    </w:p>
    <w:p>
      <w:pPr>
        <w:spacing w:line="300" w:lineRule="auto"/>
        <w:ind w:firstLine="420" w:firstLineChars="200"/>
        <w:rPr>
          <w:rFonts w:ascii="华文中宋" w:hAnsi="华文中宋" w:eastAsia="华文中宋"/>
        </w:rPr>
      </w:pPr>
    </w:p>
    <w:p>
      <w:pPr>
        <w:spacing w:line="300" w:lineRule="auto"/>
        <w:ind w:firstLine="420" w:firstLineChars="200"/>
        <w:rPr>
          <w:rFonts w:ascii="华文中宋" w:hAnsi="华文中宋" w:eastAsia="华文中宋"/>
        </w:rPr>
      </w:pPr>
    </w:p>
    <w:p>
      <w:pPr>
        <w:spacing w:line="300" w:lineRule="auto"/>
        <w:ind w:firstLine="3255" w:firstLineChars="1550"/>
        <w:rPr>
          <w:rFonts w:ascii="华文中宋" w:hAnsi="华文中宋" w:eastAsia="华文中宋"/>
        </w:rPr>
      </w:pPr>
      <w:r>
        <w:rPr>
          <w:rFonts w:hint="eastAsia" w:ascii="华文中宋" w:hAnsi="华文中宋" w:eastAsia="华文中宋"/>
        </w:rPr>
        <w:t>分项报价表</w:t>
      </w:r>
    </w:p>
    <w:tbl>
      <w:tblPr>
        <w:tblStyle w:val="21"/>
        <w:tblW w:w="8946" w:type="dxa"/>
        <w:tblInd w:w="93" w:type="dxa"/>
        <w:tblLayout w:type="fixed"/>
        <w:tblCellMar>
          <w:top w:w="0" w:type="dxa"/>
          <w:left w:w="108" w:type="dxa"/>
          <w:bottom w:w="0" w:type="dxa"/>
          <w:right w:w="108" w:type="dxa"/>
        </w:tblCellMar>
      </w:tblPr>
      <w:tblGrid>
        <w:gridCol w:w="615"/>
        <w:gridCol w:w="1560"/>
        <w:gridCol w:w="675"/>
        <w:gridCol w:w="1276"/>
        <w:gridCol w:w="567"/>
        <w:gridCol w:w="425"/>
        <w:gridCol w:w="1134"/>
        <w:gridCol w:w="1803"/>
        <w:gridCol w:w="891"/>
      </w:tblGrid>
      <w:tr>
        <w:tblPrEx>
          <w:tblLayout w:type="fixed"/>
          <w:tblCellMar>
            <w:top w:w="0" w:type="dxa"/>
            <w:left w:w="108" w:type="dxa"/>
            <w:bottom w:w="0" w:type="dxa"/>
            <w:right w:w="108" w:type="dxa"/>
          </w:tblCellMar>
        </w:tblPrEx>
        <w:trPr>
          <w:trHeight w:val="584" w:hRule="atLeast"/>
        </w:trPr>
        <w:tc>
          <w:tcPr>
            <w:tcW w:w="6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序号</w:t>
            </w:r>
          </w:p>
        </w:tc>
        <w:tc>
          <w:tcPr>
            <w:tcW w:w="1560" w:type="dxa"/>
            <w:tcBorders>
              <w:top w:val="single" w:color="auto" w:sz="4" w:space="0"/>
              <w:left w:val="nil"/>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货物名称</w:t>
            </w:r>
          </w:p>
        </w:tc>
        <w:tc>
          <w:tcPr>
            <w:tcW w:w="675" w:type="dxa"/>
            <w:tcBorders>
              <w:top w:val="single" w:color="auto" w:sz="4" w:space="0"/>
              <w:left w:val="nil"/>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规格型号</w:t>
            </w:r>
          </w:p>
        </w:tc>
        <w:tc>
          <w:tcPr>
            <w:tcW w:w="1276" w:type="dxa"/>
            <w:tcBorders>
              <w:top w:val="single" w:color="auto" w:sz="4" w:space="0"/>
              <w:left w:val="nil"/>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生产厂家或品牌</w:t>
            </w:r>
          </w:p>
        </w:tc>
        <w:tc>
          <w:tcPr>
            <w:tcW w:w="567" w:type="dxa"/>
            <w:tcBorders>
              <w:top w:val="single" w:color="auto" w:sz="4" w:space="0"/>
              <w:left w:val="nil"/>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单位</w:t>
            </w:r>
          </w:p>
        </w:tc>
        <w:tc>
          <w:tcPr>
            <w:tcW w:w="425" w:type="dxa"/>
            <w:tcBorders>
              <w:top w:val="single" w:color="auto" w:sz="4" w:space="0"/>
              <w:left w:val="nil"/>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数量</w:t>
            </w:r>
          </w:p>
        </w:tc>
        <w:tc>
          <w:tcPr>
            <w:tcW w:w="1134" w:type="dxa"/>
            <w:tcBorders>
              <w:top w:val="single" w:color="auto" w:sz="4" w:space="0"/>
              <w:left w:val="nil"/>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单价（元）</w:t>
            </w:r>
          </w:p>
        </w:tc>
        <w:tc>
          <w:tcPr>
            <w:tcW w:w="1803" w:type="dxa"/>
            <w:tcBorders>
              <w:top w:val="single" w:color="auto" w:sz="4" w:space="0"/>
              <w:left w:val="nil"/>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合计金额（元）</w:t>
            </w:r>
          </w:p>
        </w:tc>
        <w:tc>
          <w:tcPr>
            <w:tcW w:w="891" w:type="dxa"/>
            <w:tcBorders>
              <w:top w:val="single" w:color="auto" w:sz="4" w:space="0"/>
              <w:left w:val="nil"/>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备注</w:t>
            </w:r>
          </w:p>
        </w:tc>
      </w:tr>
      <w:tr>
        <w:tblPrEx>
          <w:tblLayout w:type="fixed"/>
          <w:tblCellMar>
            <w:top w:w="0" w:type="dxa"/>
            <w:left w:w="108" w:type="dxa"/>
            <w:bottom w:w="0" w:type="dxa"/>
            <w:right w:w="108" w:type="dxa"/>
          </w:tblCellMar>
        </w:tblPrEx>
        <w:trPr>
          <w:trHeight w:val="387" w:hRule="atLeast"/>
        </w:trPr>
        <w:tc>
          <w:tcPr>
            <w:tcW w:w="615" w:type="dxa"/>
            <w:tcBorders>
              <w:top w:val="nil"/>
              <w:left w:val="single" w:color="auto" w:sz="4" w:space="0"/>
              <w:bottom w:val="single" w:color="auto" w:sz="4" w:space="0"/>
              <w:right w:val="single" w:color="auto" w:sz="4" w:space="0"/>
            </w:tcBorders>
            <w:vAlign w:val="center"/>
          </w:tcPr>
          <w:p>
            <w:pPr>
              <w:jc w:val="center"/>
              <w:rPr>
                <w:rFonts w:ascii="宋体" w:hAnsi="宋体"/>
                <w:b/>
                <w:szCs w:val="21"/>
              </w:rPr>
            </w:pPr>
          </w:p>
        </w:tc>
        <w:tc>
          <w:tcPr>
            <w:tcW w:w="1560" w:type="dxa"/>
            <w:tcBorders>
              <w:top w:val="nil"/>
              <w:left w:val="nil"/>
              <w:bottom w:val="single" w:color="auto" w:sz="4" w:space="0"/>
              <w:right w:val="single" w:color="auto" w:sz="4" w:space="0"/>
            </w:tcBorders>
            <w:vAlign w:val="center"/>
          </w:tcPr>
          <w:p>
            <w:pPr>
              <w:jc w:val="center"/>
              <w:rPr>
                <w:rFonts w:ascii="宋体" w:hAnsi="宋体"/>
                <w:b/>
                <w:szCs w:val="21"/>
              </w:rPr>
            </w:pPr>
          </w:p>
        </w:tc>
        <w:tc>
          <w:tcPr>
            <w:tcW w:w="675" w:type="dxa"/>
            <w:tcBorders>
              <w:top w:val="nil"/>
              <w:left w:val="nil"/>
              <w:bottom w:val="single" w:color="auto" w:sz="4" w:space="0"/>
              <w:right w:val="single" w:color="auto" w:sz="4" w:space="0"/>
            </w:tcBorders>
            <w:vAlign w:val="center"/>
          </w:tcPr>
          <w:p>
            <w:pPr>
              <w:jc w:val="center"/>
              <w:rPr>
                <w:rFonts w:ascii="宋体" w:hAnsi="宋体"/>
                <w:b/>
                <w:szCs w:val="21"/>
              </w:rPr>
            </w:pPr>
          </w:p>
        </w:tc>
        <w:tc>
          <w:tcPr>
            <w:tcW w:w="1276" w:type="dxa"/>
            <w:tcBorders>
              <w:top w:val="nil"/>
              <w:left w:val="nil"/>
              <w:bottom w:val="single" w:color="auto" w:sz="4" w:space="0"/>
              <w:right w:val="single" w:color="auto" w:sz="4" w:space="0"/>
            </w:tcBorders>
            <w:vAlign w:val="center"/>
          </w:tcPr>
          <w:p>
            <w:pPr>
              <w:jc w:val="center"/>
              <w:rPr>
                <w:rFonts w:ascii="宋体" w:hAnsi="宋体"/>
                <w:b/>
                <w:szCs w:val="21"/>
              </w:rPr>
            </w:pPr>
          </w:p>
        </w:tc>
        <w:tc>
          <w:tcPr>
            <w:tcW w:w="567" w:type="dxa"/>
            <w:tcBorders>
              <w:top w:val="nil"/>
              <w:left w:val="nil"/>
              <w:bottom w:val="single" w:color="auto" w:sz="4" w:space="0"/>
              <w:right w:val="single" w:color="auto" w:sz="4" w:space="0"/>
            </w:tcBorders>
            <w:vAlign w:val="center"/>
          </w:tcPr>
          <w:p>
            <w:pPr>
              <w:jc w:val="center"/>
              <w:rPr>
                <w:rFonts w:ascii="宋体" w:hAnsi="宋体"/>
                <w:b/>
                <w:szCs w:val="21"/>
              </w:rPr>
            </w:pPr>
          </w:p>
        </w:tc>
        <w:tc>
          <w:tcPr>
            <w:tcW w:w="425" w:type="dxa"/>
            <w:tcBorders>
              <w:top w:val="nil"/>
              <w:left w:val="nil"/>
              <w:bottom w:val="single" w:color="auto" w:sz="4" w:space="0"/>
              <w:right w:val="single" w:color="auto" w:sz="4" w:space="0"/>
            </w:tcBorders>
            <w:vAlign w:val="center"/>
          </w:tcPr>
          <w:p>
            <w:pPr>
              <w:jc w:val="center"/>
              <w:rPr>
                <w:rFonts w:ascii="宋体" w:hAnsi="宋体"/>
                <w:b/>
                <w:szCs w:val="21"/>
              </w:rPr>
            </w:pPr>
          </w:p>
        </w:tc>
        <w:tc>
          <w:tcPr>
            <w:tcW w:w="1134" w:type="dxa"/>
            <w:tcBorders>
              <w:top w:val="nil"/>
              <w:left w:val="nil"/>
              <w:bottom w:val="single" w:color="auto" w:sz="4" w:space="0"/>
              <w:right w:val="single" w:color="auto" w:sz="4" w:space="0"/>
            </w:tcBorders>
            <w:vAlign w:val="center"/>
          </w:tcPr>
          <w:p>
            <w:pPr>
              <w:jc w:val="center"/>
              <w:rPr>
                <w:rFonts w:ascii="宋体" w:hAnsi="宋体"/>
                <w:b/>
                <w:szCs w:val="21"/>
              </w:rPr>
            </w:pPr>
          </w:p>
        </w:tc>
        <w:tc>
          <w:tcPr>
            <w:tcW w:w="1803" w:type="dxa"/>
            <w:tcBorders>
              <w:top w:val="nil"/>
              <w:left w:val="nil"/>
              <w:bottom w:val="single" w:color="auto" w:sz="4" w:space="0"/>
              <w:right w:val="single" w:color="auto" w:sz="4" w:space="0"/>
            </w:tcBorders>
            <w:vAlign w:val="center"/>
          </w:tcPr>
          <w:p>
            <w:pPr>
              <w:jc w:val="center"/>
              <w:rPr>
                <w:rFonts w:ascii="宋体" w:hAnsi="宋体"/>
                <w:b/>
                <w:szCs w:val="21"/>
              </w:rPr>
            </w:pPr>
          </w:p>
        </w:tc>
        <w:tc>
          <w:tcPr>
            <w:tcW w:w="891" w:type="dxa"/>
            <w:tcBorders>
              <w:top w:val="nil"/>
              <w:left w:val="nil"/>
              <w:bottom w:val="single" w:color="auto" w:sz="4" w:space="0"/>
              <w:right w:val="single" w:color="auto" w:sz="4" w:space="0"/>
            </w:tcBorders>
            <w:vAlign w:val="center"/>
          </w:tcPr>
          <w:p>
            <w:pPr>
              <w:ind w:right="550" w:rightChars="262"/>
              <w:jc w:val="center"/>
              <w:rPr>
                <w:rFonts w:ascii="宋体" w:hAnsi="宋体"/>
                <w:b/>
                <w:szCs w:val="21"/>
              </w:rPr>
            </w:pPr>
          </w:p>
        </w:tc>
      </w:tr>
      <w:tr>
        <w:tblPrEx>
          <w:tblLayout w:type="fixed"/>
          <w:tblCellMar>
            <w:top w:w="0" w:type="dxa"/>
            <w:left w:w="108" w:type="dxa"/>
            <w:bottom w:w="0" w:type="dxa"/>
            <w:right w:w="108" w:type="dxa"/>
          </w:tblCellMar>
        </w:tblPrEx>
        <w:trPr>
          <w:trHeight w:val="387" w:hRule="atLeast"/>
        </w:trPr>
        <w:tc>
          <w:tcPr>
            <w:tcW w:w="615" w:type="dxa"/>
            <w:tcBorders>
              <w:top w:val="nil"/>
              <w:left w:val="single" w:color="auto" w:sz="4" w:space="0"/>
              <w:bottom w:val="single" w:color="auto" w:sz="4" w:space="0"/>
              <w:right w:val="single" w:color="auto" w:sz="4" w:space="0"/>
            </w:tcBorders>
            <w:vAlign w:val="center"/>
          </w:tcPr>
          <w:p>
            <w:pPr>
              <w:jc w:val="center"/>
              <w:rPr>
                <w:rFonts w:ascii="宋体" w:hAnsi="宋体"/>
                <w:szCs w:val="21"/>
              </w:rPr>
            </w:pPr>
          </w:p>
        </w:tc>
        <w:tc>
          <w:tcPr>
            <w:tcW w:w="1560" w:type="dxa"/>
            <w:tcBorders>
              <w:top w:val="nil"/>
              <w:left w:val="nil"/>
              <w:bottom w:val="single" w:color="auto" w:sz="4" w:space="0"/>
              <w:right w:val="single" w:color="auto" w:sz="4" w:space="0"/>
            </w:tcBorders>
            <w:vAlign w:val="center"/>
          </w:tcPr>
          <w:p>
            <w:pPr>
              <w:jc w:val="center"/>
              <w:rPr>
                <w:rFonts w:ascii="宋体" w:hAnsi="宋体"/>
                <w:szCs w:val="21"/>
              </w:rPr>
            </w:pPr>
          </w:p>
        </w:tc>
        <w:tc>
          <w:tcPr>
            <w:tcW w:w="675" w:type="dxa"/>
            <w:tcBorders>
              <w:top w:val="nil"/>
              <w:left w:val="nil"/>
              <w:bottom w:val="single" w:color="auto" w:sz="4" w:space="0"/>
              <w:right w:val="single" w:color="auto" w:sz="4" w:space="0"/>
            </w:tcBorders>
            <w:vAlign w:val="center"/>
          </w:tcPr>
          <w:p>
            <w:pPr>
              <w:jc w:val="center"/>
              <w:rPr>
                <w:rFonts w:ascii="宋体" w:hAnsi="宋体"/>
                <w:szCs w:val="21"/>
              </w:rPr>
            </w:pPr>
          </w:p>
        </w:tc>
        <w:tc>
          <w:tcPr>
            <w:tcW w:w="1276" w:type="dxa"/>
            <w:tcBorders>
              <w:top w:val="nil"/>
              <w:left w:val="nil"/>
              <w:bottom w:val="single" w:color="auto" w:sz="4" w:space="0"/>
              <w:right w:val="single" w:color="auto" w:sz="4" w:space="0"/>
            </w:tcBorders>
            <w:vAlign w:val="center"/>
          </w:tcPr>
          <w:p>
            <w:pPr>
              <w:jc w:val="center"/>
              <w:rPr>
                <w:rFonts w:ascii="宋体" w:hAnsi="宋体"/>
                <w:szCs w:val="21"/>
              </w:rPr>
            </w:pPr>
          </w:p>
        </w:tc>
        <w:tc>
          <w:tcPr>
            <w:tcW w:w="567" w:type="dxa"/>
            <w:tcBorders>
              <w:top w:val="nil"/>
              <w:left w:val="nil"/>
              <w:bottom w:val="single" w:color="auto" w:sz="4" w:space="0"/>
              <w:right w:val="single" w:color="auto" w:sz="4" w:space="0"/>
            </w:tcBorders>
            <w:vAlign w:val="center"/>
          </w:tcPr>
          <w:p>
            <w:pPr>
              <w:jc w:val="center"/>
              <w:rPr>
                <w:rFonts w:ascii="宋体" w:hAnsi="宋体"/>
                <w:szCs w:val="21"/>
              </w:rPr>
            </w:pPr>
          </w:p>
        </w:tc>
        <w:tc>
          <w:tcPr>
            <w:tcW w:w="425" w:type="dxa"/>
            <w:tcBorders>
              <w:top w:val="nil"/>
              <w:left w:val="nil"/>
              <w:bottom w:val="single" w:color="auto" w:sz="4" w:space="0"/>
              <w:right w:val="single" w:color="auto" w:sz="4" w:space="0"/>
            </w:tcBorders>
            <w:vAlign w:val="center"/>
          </w:tcPr>
          <w:p>
            <w:pPr>
              <w:jc w:val="center"/>
              <w:rPr>
                <w:rFonts w:ascii="宋体" w:hAnsi="宋体"/>
                <w:szCs w:val="21"/>
              </w:rPr>
            </w:pPr>
          </w:p>
        </w:tc>
        <w:tc>
          <w:tcPr>
            <w:tcW w:w="1134" w:type="dxa"/>
            <w:tcBorders>
              <w:top w:val="nil"/>
              <w:left w:val="nil"/>
              <w:bottom w:val="single" w:color="auto" w:sz="4" w:space="0"/>
              <w:right w:val="single" w:color="auto" w:sz="4" w:space="0"/>
            </w:tcBorders>
            <w:vAlign w:val="center"/>
          </w:tcPr>
          <w:p>
            <w:pPr>
              <w:jc w:val="center"/>
              <w:rPr>
                <w:rFonts w:ascii="宋体" w:hAnsi="宋体"/>
                <w:szCs w:val="21"/>
              </w:rPr>
            </w:pPr>
          </w:p>
        </w:tc>
        <w:tc>
          <w:tcPr>
            <w:tcW w:w="1803" w:type="dxa"/>
            <w:tcBorders>
              <w:top w:val="nil"/>
              <w:left w:val="nil"/>
              <w:bottom w:val="single" w:color="auto" w:sz="4" w:space="0"/>
              <w:right w:val="single" w:color="auto" w:sz="4" w:space="0"/>
            </w:tcBorders>
            <w:vAlign w:val="center"/>
          </w:tcPr>
          <w:p>
            <w:pPr>
              <w:jc w:val="center"/>
              <w:rPr>
                <w:rFonts w:ascii="宋体" w:hAnsi="宋体"/>
                <w:szCs w:val="21"/>
              </w:rPr>
            </w:pPr>
          </w:p>
        </w:tc>
        <w:tc>
          <w:tcPr>
            <w:tcW w:w="891" w:type="dxa"/>
            <w:tcBorders>
              <w:top w:val="nil"/>
              <w:left w:val="nil"/>
              <w:bottom w:val="single" w:color="auto" w:sz="4" w:space="0"/>
              <w:right w:val="single" w:color="auto" w:sz="4" w:space="0"/>
            </w:tcBorders>
            <w:vAlign w:val="center"/>
          </w:tcPr>
          <w:p>
            <w:pPr>
              <w:jc w:val="center"/>
              <w:rPr>
                <w:rFonts w:ascii="宋体" w:hAnsi="宋体"/>
                <w:szCs w:val="21"/>
              </w:rPr>
            </w:pPr>
          </w:p>
        </w:tc>
      </w:tr>
      <w:tr>
        <w:tblPrEx>
          <w:tblLayout w:type="fixed"/>
          <w:tblCellMar>
            <w:top w:w="0" w:type="dxa"/>
            <w:left w:w="108" w:type="dxa"/>
            <w:bottom w:w="0" w:type="dxa"/>
            <w:right w:w="108" w:type="dxa"/>
          </w:tblCellMar>
        </w:tblPrEx>
        <w:trPr>
          <w:trHeight w:val="387" w:hRule="atLeast"/>
        </w:trPr>
        <w:tc>
          <w:tcPr>
            <w:tcW w:w="615" w:type="dxa"/>
            <w:tcBorders>
              <w:top w:val="nil"/>
              <w:left w:val="single" w:color="auto" w:sz="4" w:space="0"/>
              <w:bottom w:val="single" w:color="auto" w:sz="4" w:space="0"/>
              <w:right w:val="single" w:color="auto" w:sz="4" w:space="0"/>
            </w:tcBorders>
            <w:vAlign w:val="center"/>
          </w:tcPr>
          <w:p>
            <w:pPr>
              <w:jc w:val="center"/>
              <w:rPr>
                <w:rFonts w:ascii="宋体" w:hAnsi="宋体"/>
                <w:szCs w:val="21"/>
              </w:rPr>
            </w:pPr>
          </w:p>
        </w:tc>
        <w:tc>
          <w:tcPr>
            <w:tcW w:w="1560" w:type="dxa"/>
            <w:tcBorders>
              <w:top w:val="nil"/>
              <w:left w:val="nil"/>
              <w:bottom w:val="single" w:color="auto" w:sz="4" w:space="0"/>
              <w:right w:val="single" w:color="auto" w:sz="4" w:space="0"/>
            </w:tcBorders>
            <w:vAlign w:val="center"/>
          </w:tcPr>
          <w:p>
            <w:pPr>
              <w:jc w:val="center"/>
              <w:rPr>
                <w:rFonts w:ascii="宋体" w:hAnsi="宋体"/>
                <w:szCs w:val="21"/>
              </w:rPr>
            </w:pPr>
          </w:p>
        </w:tc>
        <w:tc>
          <w:tcPr>
            <w:tcW w:w="675" w:type="dxa"/>
            <w:tcBorders>
              <w:top w:val="nil"/>
              <w:left w:val="nil"/>
              <w:bottom w:val="single" w:color="auto" w:sz="4" w:space="0"/>
              <w:right w:val="single" w:color="auto" w:sz="4" w:space="0"/>
            </w:tcBorders>
            <w:vAlign w:val="center"/>
          </w:tcPr>
          <w:p>
            <w:pPr>
              <w:jc w:val="center"/>
              <w:rPr>
                <w:rFonts w:ascii="宋体" w:hAnsi="宋体"/>
                <w:szCs w:val="21"/>
              </w:rPr>
            </w:pPr>
          </w:p>
        </w:tc>
        <w:tc>
          <w:tcPr>
            <w:tcW w:w="1276" w:type="dxa"/>
            <w:tcBorders>
              <w:top w:val="nil"/>
              <w:left w:val="nil"/>
              <w:bottom w:val="single" w:color="auto" w:sz="4" w:space="0"/>
              <w:right w:val="single" w:color="auto" w:sz="4" w:space="0"/>
            </w:tcBorders>
            <w:vAlign w:val="center"/>
          </w:tcPr>
          <w:p>
            <w:pPr>
              <w:jc w:val="center"/>
              <w:rPr>
                <w:rFonts w:ascii="宋体" w:hAnsi="宋体"/>
                <w:szCs w:val="21"/>
              </w:rPr>
            </w:pPr>
          </w:p>
        </w:tc>
        <w:tc>
          <w:tcPr>
            <w:tcW w:w="567" w:type="dxa"/>
            <w:tcBorders>
              <w:top w:val="nil"/>
              <w:left w:val="nil"/>
              <w:bottom w:val="single" w:color="auto" w:sz="4" w:space="0"/>
              <w:right w:val="single" w:color="auto" w:sz="4" w:space="0"/>
            </w:tcBorders>
            <w:vAlign w:val="center"/>
          </w:tcPr>
          <w:p>
            <w:pPr>
              <w:jc w:val="center"/>
              <w:rPr>
                <w:rFonts w:ascii="宋体" w:hAnsi="宋体"/>
                <w:szCs w:val="21"/>
              </w:rPr>
            </w:pPr>
          </w:p>
        </w:tc>
        <w:tc>
          <w:tcPr>
            <w:tcW w:w="425" w:type="dxa"/>
            <w:tcBorders>
              <w:top w:val="nil"/>
              <w:left w:val="nil"/>
              <w:bottom w:val="single" w:color="auto" w:sz="4" w:space="0"/>
              <w:right w:val="single" w:color="auto" w:sz="4" w:space="0"/>
            </w:tcBorders>
            <w:vAlign w:val="center"/>
          </w:tcPr>
          <w:p>
            <w:pPr>
              <w:jc w:val="center"/>
              <w:rPr>
                <w:rFonts w:ascii="宋体" w:hAnsi="宋体"/>
                <w:szCs w:val="21"/>
              </w:rPr>
            </w:pPr>
          </w:p>
        </w:tc>
        <w:tc>
          <w:tcPr>
            <w:tcW w:w="1134" w:type="dxa"/>
            <w:tcBorders>
              <w:top w:val="nil"/>
              <w:left w:val="nil"/>
              <w:bottom w:val="single" w:color="auto" w:sz="4" w:space="0"/>
              <w:right w:val="single" w:color="auto" w:sz="4" w:space="0"/>
            </w:tcBorders>
            <w:vAlign w:val="center"/>
          </w:tcPr>
          <w:p>
            <w:pPr>
              <w:jc w:val="center"/>
              <w:rPr>
                <w:rFonts w:ascii="宋体" w:hAnsi="宋体"/>
                <w:szCs w:val="21"/>
              </w:rPr>
            </w:pPr>
          </w:p>
        </w:tc>
        <w:tc>
          <w:tcPr>
            <w:tcW w:w="1803" w:type="dxa"/>
            <w:tcBorders>
              <w:top w:val="nil"/>
              <w:left w:val="nil"/>
              <w:bottom w:val="single" w:color="auto" w:sz="4" w:space="0"/>
              <w:right w:val="single" w:color="auto" w:sz="4" w:space="0"/>
            </w:tcBorders>
            <w:vAlign w:val="center"/>
          </w:tcPr>
          <w:p>
            <w:pPr>
              <w:jc w:val="center"/>
              <w:rPr>
                <w:rFonts w:ascii="宋体" w:hAnsi="宋体"/>
                <w:szCs w:val="21"/>
              </w:rPr>
            </w:pPr>
          </w:p>
        </w:tc>
        <w:tc>
          <w:tcPr>
            <w:tcW w:w="891" w:type="dxa"/>
            <w:tcBorders>
              <w:top w:val="nil"/>
              <w:left w:val="nil"/>
              <w:bottom w:val="single" w:color="auto" w:sz="4" w:space="0"/>
              <w:right w:val="single" w:color="auto" w:sz="4" w:space="0"/>
            </w:tcBorders>
            <w:vAlign w:val="center"/>
          </w:tcPr>
          <w:p>
            <w:pPr>
              <w:jc w:val="center"/>
              <w:rPr>
                <w:rFonts w:ascii="宋体" w:hAnsi="宋体"/>
                <w:szCs w:val="21"/>
              </w:rPr>
            </w:pPr>
          </w:p>
        </w:tc>
      </w:tr>
      <w:tr>
        <w:tblPrEx>
          <w:tblLayout w:type="fixed"/>
          <w:tblCellMar>
            <w:top w:w="0" w:type="dxa"/>
            <w:left w:w="108" w:type="dxa"/>
            <w:bottom w:w="0" w:type="dxa"/>
            <w:right w:w="108" w:type="dxa"/>
          </w:tblCellMar>
        </w:tblPrEx>
        <w:trPr>
          <w:trHeight w:val="387" w:hRule="atLeast"/>
        </w:trPr>
        <w:tc>
          <w:tcPr>
            <w:tcW w:w="615" w:type="dxa"/>
            <w:tcBorders>
              <w:top w:val="nil"/>
              <w:left w:val="single" w:color="auto" w:sz="4" w:space="0"/>
              <w:bottom w:val="single" w:color="auto" w:sz="4" w:space="0"/>
              <w:right w:val="single" w:color="auto" w:sz="4" w:space="0"/>
            </w:tcBorders>
            <w:vAlign w:val="center"/>
          </w:tcPr>
          <w:p>
            <w:pPr>
              <w:jc w:val="center"/>
              <w:rPr>
                <w:rFonts w:ascii="宋体" w:hAnsi="宋体"/>
                <w:szCs w:val="21"/>
              </w:rPr>
            </w:pPr>
          </w:p>
        </w:tc>
        <w:tc>
          <w:tcPr>
            <w:tcW w:w="1560" w:type="dxa"/>
            <w:tcBorders>
              <w:top w:val="nil"/>
              <w:left w:val="nil"/>
              <w:bottom w:val="single" w:color="auto" w:sz="4" w:space="0"/>
              <w:right w:val="single" w:color="auto" w:sz="4" w:space="0"/>
            </w:tcBorders>
            <w:vAlign w:val="center"/>
          </w:tcPr>
          <w:p>
            <w:pPr>
              <w:jc w:val="center"/>
              <w:rPr>
                <w:rFonts w:ascii="宋体" w:hAnsi="宋体"/>
                <w:szCs w:val="21"/>
              </w:rPr>
            </w:pPr>
          </w:p>
        </w:tc>
        <w:tc>
          <w:tcPr>
            <w:tcW w:w="675" w:type="dxa"/>
            <w:tcBorders>
              <w:top w:val="nil"/>
              <w:left w:val="nil"/>
              <w:bottom w:val="single" w:color="auto" w:sz="4" w:space="0"/>
              <w:right w:val="single" w:color="auto" w:sz="4" w:space="0"/>
            </w:tcBorders>
            <w:vAlign w:val="center"/>
          </w:tcPr>
          <w:p>
            <w:pPr>
              <w:jc w:val="center"/>
              <w:rPr>
                <w:rFonts w:ascii="宋体" w:hAnsi="宋体"/>
                <w:szCs w:val="21"/>
              </w:rPr>
            </w:pPr>
          </w:p>
        </w:tc>
        <w:tc>
          <w:tcPr>
            <w:tcW w:w="1276" w:type="dxa"/>
            <w:tcBorders>
              <w:top w:val="nil"/>
              <w:left w:val="nil"/>
              <w:bottom w:val="single" w:color="auto" w:sz="4" w:space="0"/>
              <w:right w:val="single" w:color="auto" w:sz="4" w:space="0"/>
            </w:tcBorders>
            <w:vAlign w:val="center"/>
          </w:tcPr>
          <w:p>
            <w:pPr>
              <w:jc w:val="center"/>
              <w:rPr>
                <w:rFonts w:ascii="宋体" w:hAnsi="宋体"/>
                <w:szCs w:val="21"/>
              </w:rPr>
            </w:pPr>
          </w:p>
        </w:tc>
        <w:tc>
          <w:tcPr>
            <w:tcW w:w="567" w:type="dxa"/>
            <w:tcBorders>
              <w:top w:val="nil"/>
              <w:left w:val="nil"/>
              <w:bottom w:val="single" w:color="auto" w:sz="4" w:space="0"/>
              <w:right w:val="single" w:color="auto" w:sz="4" w:space="0"/>
            </w:tcBorders>
            <w:vAlign w:val="center"/>
          </w:tcPr>
          <w:p>
            <w:pPr>
              <w:jc w:val="center"/>
              <w:rPr>
                <w:rFonts w:ascii="宋体" w:hAnsi="宋体"/>
                <w:szCs w:val="21"/>
              </w:rPr>
            </w:pPr>
          </w:p>
        </w:tc>
        <w:tc>
          <w:tcPr>
            <w:tcW w:w="425" w:type="dxa"/>
            <w:tcBorders>
              <w:top w:val="nil"/>
              <w:left w:val="nil"/>
              <w:bottom w:val="single" w:color="auto" w:sz="4" w:space="0"/>
              <w:right w:val="single" w:color="auto" w:sz="4" w:space="0"/>
            </w:tcBorders>
            <w:vAlign w:val="center"/>
          </w:tcPr>
          <w:p>
            <w:pPr>
              <w:jc w:val="center"/>
              <w:rPr>
                <w:rFonts w:ascii="宋体" w:hAnsi="宋体"/>
                <w:szCs w:val="21"/>
              </w:rPr>
            </w:pPr>
          </w:p>
        </w:tc>
        <w:tc>
          <w:tcPr>
            <w:tcW w:w="1134" w:type="dxa"/>
            <w:tcBorders>
              <w:top w:val="nil"/>
              <w:left w:val="nil"/>
              <w:bottom w:val="single" w:color="auto" w:sz="4" w:space="0"/>
              <w:right w:val="single" w:color="auto" w:sz="4" w:space="0"/>
            </w:tcBorders>
            <w:vAlign w:val="center"/>
          </w:tcPr>
          <w:p>
            <w:pPr>
              <w:jc w:val="center"/>
              <w:rPr>
                <w:rFonts w:ascii="宋体" w:hAnsi="宋体"/>
                <w:szCs w:val="21"/>
              </w:rPr>
            </w:pPr>
          </w:p>
        </w:tc>
        <w:tc>
          <w:tcPr>
            <w:tcW w:w="1803" w:type="dxa"/>
            <w:tcBorders>
              <w:top w:val="nil"/>
              <w:left w:val="nil"/>
              <w:bottom w:val="single" w:color="auto" w:sz="4" w:space="0"/>
              <w:right w:val="single" w:color="auto" w:sz="4" w:space="0"/>
            </w:tcBorders>
            <w:vAlign w:val="center"/>
          </w:tcPr>
          <w:p>
            <w:pPr>
              <w:jc w:val="center"/>
              <w:rPr>
                <w:rFonts w:ascii="宋体" w:hAnsi="宋体"/>
                <w:szCs w:val="21"/>
              </w:rPr>
            </w:pPr>
          </w:p>
        </w:tc>
        <w:tc>
          <w:tcPr>
            <w:tcW w:w="891" w:type="dxa"/>
            <w:tcBorders>
              <w:top w:val="nil"/>
              <w:left w:val="nil"/>
              <w:bottom w:val="single" w:color="auto" w:sz="4" w:space="0"/>
              <w:right w:val="single" w:color="auto" w:sz="4" w:space="0"/>
            </w:tcBorders>
            <w:vAlign w:val="center"/>
          </w:tcPr>
          <w:p>
            <w:pPr>
              <w:jc w:val="center"/>
              <w:rPr>
                <w:rFonts w:ascii="宋体" w:hAnsi="宋体"/>
                <w:szCs w:val="21"/>
              </w:rPr>
            </w:pPr>
          </w:p>
        </w:tc>
      </w:tr>
      <w:tr>
        <w:tblPrEx>
          <w:tblLayout w:type="fixed"/>
          <w:tblCellMar>
            <w:top w:w="0" w:type="dxa"/>
            <w:left w:w="108" w:type="dxa"/>
            <w:bottom w:w="0" w:type="dxa"/>
            <w:right w:w="108" w:type="dxa"/>
          </w:tblCellMar>
        </w:tblPrEx>
        <w:trPr>
          <w:trHeight w:val="387" w:hRule="atLeast"/>
        </w:trPr>
        <w:tc>
          <w:tcPr>
            <w:tcW w:w="615" w:type="dxa"/>
            <w:tcBorders>
              <w:top w:val="nil"/>
              <w:left w:val="single" w:color="auto" w:sz="4" w:space="0"/>
              <w:bottom w:val="single" w:color="auto" w:sz="4" w:space="0"/>
              <w:right w:val="single" w:color="auto" w:sz="4" w:space="0"/>
            </w:tcBorders>
            <w:vAlign w:val="center"/>
          </w:tcPr>
          <w:p>
            <w:pPr>
              <w:jc w:val="center"/>
              <w:rPr>
                <w:rFonts w:ascii="宋体" w:hAnsi="宋体"/>
                <w:szCs w:val="21"/>
              </w:rPr>
            </w:pPr>
          </w:p>
        </w:tc>
        <w:tc>
          <w:tcPr>
            <w:tcW w:w="1560" w:type="dxa"/>
            <w:tcBorders>
              <w:top w:val="nil"/>
              <w:left w:val="nil"/>
              <w:bottom w:val="single" w:color="auto" w:sz="4" w:space="0"/>
              <w:right w:val="single" w:color="auto" w:sz="4" w:space="0"/>
            </w:tcBorders>
            <w:vAlign w:val="center"/>
          </w:tcPr>
          <w:p>
            <w:pPr>
              <w:jc w:val="center"/>
              <w:rPr>
                <w:rFonts w:ascii="宋体" w:hAnsi="宋体"/>
                <w:szCs w:val="21"/>
              </w:rPr>
            </w:pPr>
          </w:p>
        </w:tc>
        <w:tc>
          <w:tcPr>
            <w:tcW w:w="675" w:type="dxa"/>
            <w:tcBorders>
              <w:top w:val="nil"/>
              <w:left w:val="nil"/>
              <w:bottom w:val="single" w:color="auto" w:sz="4" w:space="0"/>
              <w:right w:val="single" w:color="auto" w:sz="4" w:space="0"/>
            </w:tcBorders>
            <w:vAlign w:val="center"/>
          </w:tcPr>
          <w:p>
            <w:pPr>
              <w:jc w:val="center"/>
              <w:rPr>
                <w:rFonts w:ascii="宋体" w:hAnsi="宋体"/>
                <w:szCs w:val="21"/>
              </w:rPr>
            </w:pPr>
          </w:p>
        </w:tc>
        <w:tc>
          <w:tcPr>
            <w:tcW w:w="1276" w:type="dxa"/>
            <w:tcBorders>
              <w:top w:val="nil"/>
              <w:left w:val="nil"/>
              <w:bottom w:val="single" w:color="auto" w:sz="4" w:space="0"/>
              <w:right w:val="single" w:color="auto" w:sz="4" w:space="0"/>
            </w:tcBorders>
            <w:vAlign w:val="center"/>
          </w:tcPr>
          <w:p>
            <w:pPr>
              <w:jc w:val="center"/>
              <w:rPr>
                <w:rFonts w:ascii="宋体" w:hAnsi="宋体"/>
                <w:szCs w:val="21"/>
              </w:rPr>
            </w:pPr>
          </w:p>
        </w:tc>
        <w:tc>
          <w:tcPr>
            <w:tcW w:w="567" w:type="dxa"/>
            <w:tcBorders>
              <w:top w:val="nil"/>
              <w:left w:val="nil"/>
              <w:bottom w:val="single" w:color="auto" w:sz="4" w:space="0"/>
              <w:right w:val="single" w:color="auto" w:sz="4" w:space="0"/>
            </w:tcBorders>
            <w:vAlign w:val="center"/>
          </w:tcPr>
          <w:p>
            <w:pPr>
              <w:jc w:val="center"/>
              <w:rPr>
                <w:rFonts w:ascii="宋体" w:hAnsi="宋体"/>
                <w:szCs w:val="21"/>
              </w:rPr>
            </w:pPr>
          </w:p>
        </w:tc>
        <w:tc>
          <w:tcPr>
            <w:tcW w:w="425" w:type="dxa"/>
            <w:tcBorders>
              <w:top w:val="nil"/>
              <w:left w:val="nil"/>
              <w:bottom w:val="single" w:color="auto" w:sz="4" w:space="0"/>
              <w:right w:val="single" w:color="auto" w:sz="4" w:space="0"/>
            </w:tcBorders>
            <w:vAlign w:val="center"/>
          </w:tcPr>
          <w:p>
            <w:pPr>
              <w:jc w:val="center"/>
              <w:rPr>
                <w:rFonts w:ascii="宋体" w:hAnsi="宋体"/>
                <w:szCs w:val="21"/>
              </w:rPr>
            </w:pPr>
          </w:p>
        </w:tc>
        <w:tc>
          <w:tcPr>
            <w:tcW w:w="1134" w:type="dxa"/>
            <w:tcBorders>
              <w:top w:val="nil"/>
              <w:left w:val="nil"/>
              <w:bottom w:val="single" w:color="auto" w:sz="4" w:space="0"/>
              <w:right w:val="single" w:color="auto" w:sz="4" w:space="0"/>
            </w:tcBorders>
            <w:vAlign w:val="center"/>
          </w:tcPr>
          <w:p>
            <w:pPr>
              <w:jc w:val="center"/>
              <w:rPr>
                <w:rFonts w:ascii="宋体" w:hAnsi="宋体"/>
                <w:szCs w:val="21"/>
              </w:rPr>
            </w:pPr>
          </w:p>
        </w:tc>
        <w:tc>
          <w:tcPr>
            <w:tcW w:w="1803" w:type="dxa"/>
            <w:tcBorders>
              <w:top w:val="nil"/>
              <w:left w:val="nil"/>
              <w:bottom w:val="single" w:color="auto" w:sz="4" w:space="0"/>
              <w:right w:val="single" w:color="auto" w:sz="4" w:space="0"/>
            </w:tcBorders>
            <w:vAlign w:val="center"/>
          </w:tcPr>
          <w:p>
            <w:pPr>
              <w:jc w:val="center"/>
              <w:rPr>
                <w:rFonts w:ascii="宋体" w:hAnsi="宋体"/>
                <w:szCs w:val="21"/>
              </w:rPr>
            </w:pPr>
          </w:p>
        </w:tc>
        <w:tc>
          <w:tcPr>
            <w:tcW w:w="891" w:type="dxa"/>
            <w:tcBorders>
              <w:top w:val="nil"/>
              <w:left w:val="nil"/>
              <w:bottom w:val="single" w:color="auto" w:sz="4" w:space="0"/>
              <w:right w:val="single" w:color="auto" w:sz="4" w:space="0"/>
            </w:tcBorders>
            <w:vAlign w:val="center"/>
          </w:tcPr>
          <w:p>
            <w:pPr>
              <w:jc w:val="center"/>
              <w:rPr>
                <w:rFonts w:ascii="宋体" w:hAnsi="宋体"/>
                <w:szCs w:val="21"/>
              </w:rPr>
            </w:pPr>
          </w:p>
        </w:tc>
      </w:tr>
      <w:tr>
        <w:tblPrEx>
          <w:tblLayout w:type="fixed"/>
          <w:tblCellMar>
            <w:top w:w="0" w:type="dxa"/>
            <w:left w:w="108" w:type="dxa"/>
            <w:bottom w:w="0" w:type="dxa"/>
            <w:right w:w="108" w:type="dxa"/>
          </w:tblCellMar>
        </w:tblPrEx>
        <w:trPr>
          <w:trHeight w:val="387" w:hRule="atLeast"/>
        </w:trPr>
        <w:tc>
          <w:tcPr>
            <w:tcW w:w="217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总合计</w:t>
            </w:r>
          </w:p>
        </w:tc>
        <w:tc>
          <w:tcPr>
            <w:tcW w:w="4077" w:type="dxa"/>
            <w:gridSpan w:val="5"/>
            <w:tcBorders>
              <w:top w:val="nil"/>
              <w:left w:val="nil"/>
              <w:bottom w:val="single" w:color="auto" w:sz="4" w:space="0"/>
              <w:right w:val="single" w:color="auto" w:sz="4" w:space="0"/>
            </w:tcBorders>
            <w:vAlign w:val="center"/>
          </w:tcPr>
          <w:p>
            <w:pPr>
              <w:jc w:val="center"/>
              <w:rPr>
                <w:rFonts w:ascii="宋体" w:hAnsi="宋体"/>
                <w:szCs w:val="21"/>
              </w:rPr>
            </w:pPr>
          </w:p>
        </w:tc>
        <w:tc>
          <w:tcPr>
            <w:tcW w:w="1803" w:type="dxa"/>
            <w:tcBorders>
              <w:top w:val="nil"/>
              <w:left w:val="nil"/>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　</w:t>
            </w:r>
          </w:p>
        </w:tc>
        <w:tc>
          <w:tcPr>
            <w:tcW w:w="891" w:type="dxa"/>
            <w:tcBorders>
              <w:top w:val="nil"/>
              <w:left w:val="nil"/>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　</w:t>
            </w:r>
          </w:p>
        </w:tc>
      </w:tr>
      <w:tr>
        <w:tblPrEx>
          <w:tblLayout w:type="fixed"/>
          <w:tblCellMar>
            <w:top w:w="0" w:type="dxa"/>
            <w:left w:w="108" w:type="dxa"/>
            <w:bottom w:w="0" w:type="dxa"/>
            <w:right w:w="108" w:type="dxa"/>
          </w:tblCellMar>
        </w:tblPrEx>
        <w:trPr>
          <w:trHeight w:val="387" w:hRule="atLeast"/>
        </w:trPr>
        <w:tc>
          <w:tcPr>
            <w:tcW w:w="8946" w:type="dxa"/>
            <w:gridSpan w:val="9"/>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 xml:space="preserve">总报价(RMB大写)：                           </w:t>
            </w:r>
          </w:p>
        </w:tc>
      </w:tr>
    </w:tbl>
    <w:p>
      <w:pPr>
        <w:spacing w:line="300" w:lineRule="auto"/>
        <w:ind w:firstLine="420" w:firstLineChars="200"/>
        <w:rPr>
          <w:rFonts w:ascii="华文中宋" w:hAnsi="华文中宋" w:eastAsia="华文中宋"/>
        </w:rPr>
      </w:pPr>
      <w:r>
        <w:rPr>
          <w:rFonts w:hint="eastAsia" w:ascii="华文中宋" w:hAnsi="华文中宋" w:eastAsia="华文中宋"/>
        </w:rPr>
        <w:t>注：以上报价为含产品价格、安装、调试、运输、培训、质保、税费等一切费用的综合包干价格。</w:t>
      </w:r>
    </w:p>
    <w:p>
      <w:pPr>
        <w:ind w:firstLine="420" w:firstLineChars="200"/>
        <w:rPr>
          <w:rFonts w:ascii="宋体" w:hAnsi="宋体"/>
          <w:szCs w:val="21"/>
        </w:rPr>
      </w:pPr>
    </w:p>
    <w:p>
      <w:pPr>
        <w:ind w:firstLine="420" w:firstLineChars="200"/>
        <w:rPr>
          <w:rFonts w:ascii="宋体" w:hAnsi="宋体"/>
          <w:szCs w:val="21"/>
        </w:rPr>
      </w:pPr>
    </w:p>
    <w:p>
      <w:pPr>
        <w:ind w:firstLine="420" w:firstLineChars="200"/>
        <w:rPr>
          <w:rFonts w:ascii="宋体" w:hAnsi="宋体"/>
          <w:szCs w:val="21"/>
        </w:rPr>
      </w:pPr>
    </w:p>
    <w:p>
      <w:pPr>
        <w:ind w:firstLine="420" w:firstLineChars="200"/>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p>
    <w:p>
      <w:pPr>
        <w:jc w:val="left"/>
        <w:rPr>
          <w:rFonts w:ascii="黑体" w:hAnsi="宋体" w:eastAsia="黑体"/>
          <w:b/>
          <w:bCs/>
          <w:szCs w:val="21"/>
        </w:rPr>
      </w:pPr>
    </w:p>
    <w:p>
      <w:pPr>
        <w:tabs>
          <w:tab w:val="left" w:pos="1680"/>
          <w:tab w:val="left" w:pos="4215"/>
          <w:tab w:val="left" w:pos="4305"/>
          <w:tab w:val="left" w:pos="8000"/>
        </w:tabs>
        <w:autoSpaceDE w:val="0"/>
        <w:autoSpaceDN w:val="0"/>
        <w:adjustRightInd w:val="0"/>
        <w:snapToGrid w:val="0"/>
        <w:spacing w:line="360" w:lineRule="auto"/>
        <w:jc w:val="center"/>
        <w:rPr>
          <w:rFonts w:ascii="宋体" w:hAnsi="宋体"/>
          <w:b/>
          <w:kern w:val="0"/>
          <w:sz w:val="36"/>
          <w:szCs w:val="52"/>
        </w:rPr>
      </w:pPr>
    </w:p>
    <w:p>
      <w:pPr>
        <w:tabs>
          <w:tab w:val="left" w:pos="1680"/>
          <w:tab w:val="left" w:pos="4215"/>
          <w:tab w:val="left" w:pos="4305"/>
          <w:tab w:val="left" w:pos="8000"/>
        </w:tabs>
        <w:autoSpaceDE w:val="0"/>
        <w:autoSpaceDN w:val="0"/>
        <w:adjustRightInd w:val="0"/>
        <w:snapToGrid w:val="0"/>
        <w:spacing w:line="360" w:lineRule="auto"/>
        <w:jc w:val="center"/>
        <w:rPr>
          <w:rFonts w:ascii="宋体" w:hAnsi="宋体"/>
          <w:b/>
          <w:kern w:val="0"/>
          <w:sz w:val="36"/>
          <w:szCs w:val="52"/>
        </w:rPr>
      </w:pPr>
    </w:p>
    <w:p>
      <w:pPr>
        <w:tabs>
          <w:tab w:val="left" w:pos="1680"/>
          <w:tab w:val="left" w:pos="4215"/>
          <w:tab w:val="left" w:pos="4305"/>
          <w:tab w:val="left" w:pos="8000"/>
        </w:tabs>
        <w:autoSpaceDE w:val="0"/>
        <w:autoSpaceDN w:val="0"/>
        <w:adjustRightInd w:val="0"/>
        <w:snapToGrid w:val="0"/>
        <w:spacing w:line="360" w:lineRule="auto"/>
        <w:jc w:val="center"/>
        <w:rPr>
          <w:rFonts w:ascii="宋体" w:hAnsi="宋体"/>
          <w:b/>
          <w:kern w:val="0"/>
          <w:sz w:val="36"/>
          <w:szCs w:val="52"/>
        </w:rPr>
      </w:pPr>
    </w:p>
    <w:p>
      <w:pPr>
        <w:tabs>
          <w:tab w:val="left" w:pos="1680"/>
          <w:tab w:val="left" w:pos="4215"/>
          <w:tab w:val="left" w:pos="4305"/>
          <w:tab w:val="left" w:pos="8000"/>
        </w:tabs>
        <w:autoSpaceDE w:val="0"/>
        <w:autoSpaceDN w:val="0"/>
        <w:adjustRightInd w:val="0"/>
        <w:snapToGrid w:val="0"/>
        <w:spacing w:line="360" w:lineRule="auto"/>
        <w:jc w:val="center"/>
        <w:rPr>
          <w:rFonts w:ascii="宋体" w:hAnsi="宋体"/>
          <w:b/>
          <w:kern w:val="0"/>
          <w:sz w:val="36"/>
          <w:szCs w:val="52"/>
        </w:rPr>
      </w:pPr>
    </w:p>
    <w:p>
      <w:pPr>
        <w:tabs>
          <w:tab w:val="left" w:pos="1680"/>
          <w:tab w:val="left" w:pos="4215"/>
          <w:tab w:val="left" w:pos="4305"/>
          <w:tab w:val="left" w:pos="8000"/>
        </w:tabs>
        <w:autoSpaceDE w:val="0"/>
        <w:autoSpaceDN w:val="0"/>
        <w:adjustRightInd w:val="0"/>
        <w:snapToGrid w:val="0"/>
        <w:spacing w:line="360" w:lineRule="auto"/>
        <w:jc w:val="center"/>
        <w:rPr>
          <w:rFonts w:ascii="宋体" w:hAnsi="宋体"/>
          <w:b/>
          <w:kern w:val="0"/>
          <w:sz w:val="36"/>
          <w:szCs w:val="52"/>
        </w:rPr>
      </w:pPr>
    </w:p>
    <w:p>
      <w:pPr>
        <w:tabs>
          <w:tab w:val="left" w:pos="1680"/>
          <w:tab w:val="left" w:pos="4215"/>
          <w:tab w:val="left" w:pos="4305"/>
          <w:tab w:val="left" w:pos="8000"/>
        </w:tabs>
        <w:autoSpaceDE w:val="0"/>
        <w:autoSpaceDN w:val="0"/>
        <w:adjustRightInd w:val="0"/>
        <w:snapToGrid w:val="0"/>
        <w:spacing w:line="360" w:lineRule="auto"/>
        <w:jc w:val="center"/>
        <w:rPr>
          <w:rFonts w:ascii="宋体" w:hAnsi="宋体"/>
          <w:b/>
          <w:kern w:val="0"/>
          <w:sz w:val="36"/>
          <w:szCs w:val="52"/>
        </w:rPr>
      </w:pPr>
    </w:p>
    <w:p>
      <w:pPr>
        <w:tabs>
          <w:tab w:val="left" w:pos="1680"/>
          <w:tab w:val="left" w:pos="4215"/>
          <w:tab w:val="left" w:pos="4305"/>
          <w:tab w:val="left" w:pos="8000"/>
        </w:tabs>
        <w:autoSpaceDE w:val="0"/>
        <w:autoSpaceDN w:val="0"/>
        <w:adjustRightInd w:val="0"/>
        <w:snapToGrid w:val="0"/>
        <w:spacing w:line="360" w:lineRule="auto"/>
        <w:jc w:val="center"/>
        <w:rPr>
          <w:rFonts w:ascii="宋体" w:hAnsi="宋体"/>
          <w:b/>
          <w:kern w:val="0"/>
          <w:sz w:val="36"/>
          <w:szCs w:val="52"/>
        </w:rPr>
      </w:pPr>
    </w:p>
    <w:p>
      <w:pPr>
        <w:tabs>
          <w:tab w:val="left" w:pos="1680"/>
          <w:tab w:val="left" w:pos="4215"/>
          <w:tab w:val="left" w:pos="4305"/>
          <w:tab w:val="left" w:pos="8000"/>
        </w:tabs>
        <w:autoSpaceDE w:val="0"/>
        <w:autoSpaceDN w:val="0"/>
        <w:adjustRightInd w:val="0"/>
        <w:snapToGrid w:val="0"/>
        <w:spacing w:line="360" w:lineRule="auto"/>
        <w:jc w:val="center"/>
        <w:rPr>
          <w:rFonts w:ascii="宋体" w:hAnsi="宋体"/>
          <w:b/>
          <w:kern w:val="0"/>
          <w:sz w:val="36"/>
          <w:szCs w:val="52"/>
        </w:rPr>
      </w:pPr>
    </w:p>
    <w:p>
      <w:pPr>
        <w:tabs>
          <w:tab w:val="left" w:pos="1680"/>
          <w:tab w:val="left" w:pos="4215"/>
          <w:tab w:val="left" w:pos="4305"/>
          <w:tab w:val="left" w:pos="8000"/>
        </w:tabs>
        <w:autoSpaceDE w:val="0"/>
        <w:autoSpaceDN w:val="0"/>
        <w:adjustRightInd w:val="0"/>
        <w:snapToGrid w:val="0"/>
        <w:spacing w:line="360" w:lineRule="auto"/>
        <w:jc w:val="center"/>
        <w:rPr>
          <w:rFonts w:ascii="宋体" w:hAnsi="宋体"/>
          <w:b/>
          <w:kern w:val="0"/>
          <w:sz w:val="36"/>
          <w:szCs w:val="52"/>
        </w:rPr>
      </w:pPr>
    </w:p>
    <w:p>
      <w:pPr>
        <w:tabs>
          <w:tab w:val="left" w:pos="1680"/>
          <w:tab w:val="left" w:pos="4215"/>
          <w:tab w:val="left" w:pos="4305"/>
          <w:tab w:val="left" w:pos="8000"/>
        </w:tabs>
        <w:autoSpaceDE w:val="0"/>
        <w:autoSpaceDN w:val="0"/>
        <w:adjustRightInd w:val="0"/>
        <w:snapToGrid w:val="0"/>
        <w:spacing w:line="360" w:lineRule="auto"/>
        <w:jc w:val="center"/>
        <w:rPr>
          <w:rFonts w:ascii="宋体" w:hAnsi="宋体"/>
          <w:b/>
          <w:kern w:val="0"/>
          <w:sz w:val="36"/>
          <w:szCs w:val="52"/>
        </w:rPr>
      </w:pPr>
      <w:r>
        <w:rPr>
          <w:rFonts w:hint="eastAsia" w:ascii="宋体" w:hAnsi="宋体"/>
          <w:b/>
          <w:kern w:val="0"/>
          <w:sz w:val="36"/>
          <w:szCs w:val="52"/>
        </w:rPr>
        <w:t xml:space="preserve">二、法定代表人授权委托书 </w:t>
      </w:r>
    </w:p>
    <w:p>
      <w:pPr>
        <w:spacing w:line="400" w:lineRule="exact"/>
        <w:ind w:firstLine="555"/>
        <w:rPr>
          <w:rFonts w:ascii="华文中宋" w:hAnsi="华文中宋" w:eastAsia="华文中宋"/>
          <w:szCs w:val="21"/>
        </w:rPr>
      </w:pPr>
      <w:r>
        <w:rPr>
          <w:rFonts w:hint="eastAsia" w:ascii="华文中宋" w:hAnsi="华文中宋" w:eastAsia="华文中宋"/>
          <w:szCs w:val="21"/>
        </w:rPr>
        <w:t>本人（姓名</w:t>
      </w:r>
      <w:r>
        <w:rPr>
          <w:rFonts w:hint="eastAsia" w:ascii="华文中宋" w:hAnsi="华文中宋" w:eastAsia="华文中宋"/>
          <w:szCs w:val="21"/>
          <w:u w:val="single"/>
        </w:rPr>
        <w:t>）</w:t>
      </w:r>
      <w:r>
        <w:rPr>
          <w:rFonts w:hint="eastAsia" w:ascii="华文中宋" w:hAnsi="华文中宋" w:eastAsia="华文中宋"/>
          <w:szCs w:val="21"/>
        </w:rPr>
        <w:t>系（参选人名称）的法定代表人（或单位负责人），现委托为我方代理人参与重庆能投渝新能源有限公司的采购竞争性比选会。</w:t>
      </w:r>
    </w:p>
    <w:p>
      <w:pPr>
        <w:spacing w:line="400" w:lineRule="exact"/>
        <w:ind w:firstLine="555"/>
        <w:rPr>
          <w:rFonts w:ascii="华文中宋" w:hAnsi="华文中宋" w:eastAsia="华文中宋"/>
          <w:szCs w:val="21"/>
        </w:rPr>
      </w:pPr>
      <w:r>
        <w:rPr>
          <w:rFonts w:hint="eastAsia" w:ascii="华文中宋" w:hAnsi="华文中宋" w:eastAsia="华文中宋"/>
          <w:szCs w:val="21"/>
        </w:rPr>
        <w:t>代理人根据授权：以我方名义签署、澄清、说明、补正、递交、撤回、修改重庆能投渝新能源有限公司组织的所需递交的相关资料文件，其法律后果由我方承担。</w:t>
      </w:r>
    </w:p>
    <w:p>
      <w:pPr>
        <w:spacing w:line="400" w:lineRule="exact"/>
        <w:ind w:firstLine="555"/>
        <w:rPr>
          <w:rFonts w:ascii="华文中宋" w:hAnsi="华文中宋" w:eastAsia="华文中宋"/>
          <w:szCs w:val="21"/>
        </w:rPr>
      </w:pPr>
      <w:r>
        <w:rPr>
          <w:rFonts w:hint="eastAsia" w:ascii="华文中宋" w:hAnsi="华文中宋" w:eastAsia="华文中宋"/>
          <w:szCs w:val="21"/>
        </w:rPr>
        <w:t>委托期限：从本授权签署之日起至重庆能投渝新能源有限公司高清视频会议系统采购竞争性比选结束、邀请人与中选人签订合同时止。                                     。</w:t>
      </w:r>
    </w:p>
    <w:p>
      <w:pPr>
        <w:spacing w:line="400" w:lineRule="exact"/>
        <w:ind w:firstLine="555"/>
        <w:rPr>
          <w:rFonts w:ascii="华文中宋" w:hAnsi="华文中宋" w:eastAsia="华文中宋"/>
          <w:szCs w:val="21"/>
        </w:rPr>
      </w:pPr>
      <w:r>
        <w:rPr>
          <w:rFonts w:hint="eastAsia" w:ascii="华文中宋" w:hAnsi="华文中宋" w:eastAsia="华文中宋"/>
          <w:szCs w:val="21"/>
        </w:rPr>
        <w:t>代理人无转委托权。</w:t>
      </w:r>
    </w:p>
    <w:p>
      <w:pPr>
        <w:spacing w:line="400" w:lineRule="exact"/>
        <w:ind w:firstLine="555"/>
        <w:rPr>
          <w:rFonts w:ascii="华文中宋" w:hAnsi="华文中宋" w:eastAsia="华文中宋"/>
          <w:szCs w:val="21"/>
        </w:rPr>
      </w:pPr>
      <w:r>
        <w:rPr>
          <w:rFonts w:hint="eastAsia" w:ascii="华文中宋" w:hAnsi="华文中宋" w:eastAsia="华文中宋"/>
          <w:szCs w:val="21"/>
        </w:rPr>
        <w:t>附：法定代表人身份证明、代理人身份证复印件。</w:t>
      </w:r>
    </w:p>
    <w:p>
      <w:pPr>
        <w:spacing w:line="400" w:lineRule="exact"/>
        <w:ind w:firstLine="3696" w:firstLineChars="1760"/>
        <w:rPr>
          <w:rFonts w:ascii="华文中宋" w:hAnsi="华文中宋" w:eastAsia="华文中宋"/>
          <w:szCs w:val="21"/>
        </w:rPr>
      </w:pPr>
      <w:r>
        <w:rPr>
          <w:rFonts w:hint="eastAsia" w:ascii="华文中宋" w:hAnsi="华文中宋" w:eastAsia="华文中宋"/>
          <w:szCs w:val="21"/>
        </w:rPr>
        <w:t>参选人：（盖单位公章）</w:t>
      </w:r>
    </w:p>
    <w:p>
      <w:pPr>
        <w:spacing w:line="400" w:lineRule="exact"/>
        <w:ind w:firstLine="3675" w:firstLineChars="1750"/>
        <w:rPr>
          <w:rFonts w:ascii="华文中宋" w:hAnsi="华文中宋" w:eastAsia="华文中宋"/>
          <w:szCs w:val="21"/>
        </w:rPr>
      </w:pPr>
      <w:r>
        <w:rPr>
          <w:rFonts w:hint="eastAsia" w:ascii="华文中宋" w:hAnsi="华文中宋" w:eastAsia="华文中宋"/>
          <w:szCs w:val="21"/>
        </w:rPr>
        <w:t>法定代表人：（签字）</w:t>
      </w:r>
    </w:p>
    <w:p>
      <w:pPr>
        <w:spacing w:line="400" w:lineRule="exact"/>
        <w:ind w:firstLine="3591" w:firstLineChars="1710"/>
        <w:rPr>
          <w:rFonts w:ascii="华文中宋" w:hAnsi="华文中宋" w:eastAsia="华文中宋"/>
          <w:szCs w:val="21"/>
        </w:rPr>
      </w:pPr>
      <w:r>
        <w:rPr>
          <w:rFonts w:hint="eastAsia" w:ascii="华文中宋" w:hAnsi="华文中宋" w:eastAsia="华文中宋"/>
          <w:szCs w:val="21"/>
        </w:rPr>
        <w:t xml:space="preserve">身份证号码：                               </w:t>
      </w:r>
    </w:p>
    <w:p>
      <w:pPr>
        <w:spacing w:line="400" w:lineRule="exact"/>
        <w:ind w:firstLine="3696" w:firstLineChars="1760"/>
        <w:rPr>
          <w:rFonts w:ascii="华文中宋" w:hAnsi="华文中宋" w:eastAsia="华文中宋"/>
          <w:szCs w:val="21"/>
        </w:rPr>
      </w:pPr>
      <w:r>
        <w:rPr>
          <w:rFonts w:hint="eastAsia" w:ascii="华文中宋" w:hAnsi="华文中宋" w:eastAsia="华文中宋"/>
          <w:szCs w:val="21"/>
        </w:rPr>
        <w:t>委托代理人：（签字）</w:t>
      </w:r>
    </w:p>
    <w:p>
      <w:pPr>
        <w:spacing w:line="400" w:lineRule="exact"/>
        <w:ind w:firstLine="3591" w:firstLineChars="1710"/>
        <w:rPr>
          <w:rFonts w:ascii="华文中宋" w:hAnsi="华文中宋" w:eastAsia="华文中宋"/>
          <w:szCs w:val="21"/>
        </w:rPr>
      </w:pPr>
      <w:r>
        <w:rPr>
          <w:rFonts w:hint="eastAsia" w:ascii="华文中宋" w:hAnsi="华文中宋" w:eastAsia="华文中宋"/>
          <w:szCs w:val="21"/>
        </w:rPr>
        <w:t xml:space="preserve">身份证号码：                               </w:t>
      </w:r>
    </w:p>
    <w:p>
      <w:pPr>
        <w:spacing w:line="400" w:lineRule="exact"/>
        <w:ind w:firstLine="3591" w:firstLineChars="1710"/>
        <w:rPr>
          <w:rFonts w:ascii="华文中宋" w:hAnsi="华文中宋" w:eastAsia="华文中宋"/>
          <w:szCs w:val="21"/>
        </w:rPr>
      </w:pPr>
      <w:r>
        <w:rPr>
          <w:rFonts w:hint="eastAsia" w:ascii="华文中宋" w:hAnsi="华文中宋" w:eastAsia="华文中宋"/>
          <w:szCs w:val="21"/>
        </w:rPr>
        <w:t>年 月  日</w:t>
      </w:r>
    </w:p>
    <w:tbl>
      <w:tblPr>
        <w:tblStyle w:val="21"/>
        <w:tblW w:w="8210" w:type="dxa"/>
        <w:tblInd w:w="720" w:type="dxa"/>
        <w:tblBorders>
          <w:top w:val="dotDash" w:color="auto" w:sz="2" w:space="0"/>
          <w:left w:val="dotDash" w:color="auto" w:sz="2" w:space="0"/>
          <w:bottom w:val="dotDash" w:color="auto" w:sz="2" w:space="0"/>
          <w:right w:val="dotDash" w:color="auto" w:sz="2" w:space="0"/>
          <w:insideH w:val="dotDash" w:color="auto" w:sz="2" w:space="0"/>
          <w:insideV w:val="dotDash" w:color="auto" w:sz="2" w:space="0"/>
        </w:tblBorders>
        <w:tblLayout w:type="fixed"/>
        <w:tblCellMar>
          <w:top w:w="0" w:type="dxa"/>
          <w:left w:w="108" w:type="dxa"/>
          <w:bottom w:w="0" w:type="dxa"/>
          <w:right w:w="108" w:type="dxa"/>
        </w:tblCellMar>
      </w:tblPr>
      <w:tblGrid>
        <w:gridCol w:w="4105"/>
        <w:gridCol w:w="4105"/>
      </w:tblGrid>
      <w:tr>
        <w:tblPrEx>
          <w:tblBorders>
            <w:top w:val="dotDash" w:color="auto" w:sz="2" w:space="0"/>
            <w:left w:val="dotDash" w:color="auto" w:sz="2" w:space="0"/>
            <w:bottom w:val="dotDash" w:color="auto" w:sz="2" w:space="0"/>
            <w:right w:val="dotDash" w:color="auto" w:sz="2" w:space="0"/>
            <w:insideH w:val="dotDash" w:color="auto" w:sz="2" w:space="0"/>
            <w:insideV w:val="dotDash" w:color="auto" w:sz="2" w:space="0"/>
          </w:tblBorders>
          <w:tblLayout w:type="fixed"/>
        </w:tblPrEx>
        <w:trPr>
          <w:trHeight w:val="2749" w:hRule="atLeast"/>
        </w:trPr>
        <w:tc>
          <w:tcPr>
            <w:tcW w:w="4105" w:type="dxa"/>
          </w:tcPr>
          <w:p>
            <w:pPr>
              <w:spacing w:line="400" w:lineRule="exact"/>
              <w:ind w:firstLine="555"/>
              <w:rPr>
                <w:rFonts w:ascii="华文中宋" w:hAnsi="华文中宋" w:eastAsia="华文中宋"/>
                <w:szCs w:val="21"/>
              </w:rPr>
            </w:pPr>
            <w:r>
              <w:rPr>
                <w:rFonts w:hint="eastAsia" w:ascii="华文中宋" w:hAnsi="华文中宋" w:eastAsia="华文中宋"/>
                <w:szCs w:val="21"/>
              </w:rPr>
              <w:t>（法定代表人身份证复印件正面）</w:t>
            </w:r>
          </w:p>
        </w:tc>
        <w:tc>
          <w:tcPr>
            <w:tcW w:w="4105" w:type="dxa"/>
          </w:tcPr>
          <w:p>
            <w:pPr>
              <w:spacing w:line="400" w:lineRule="exact"/>
              <w:ind w:firstLine="555"/>
              <w:rPr>
                <w:rFonts w:ascii="华文中宋" w:hAnsi="华文中宋" w:eastAsia="华文中宋"/>
                <w:szCs w:val="21"/>
              </w:rPr>
            </w:pPr>
            <w:r>
              <w:rPr>
                <w:rFonts w:hint="eastAsia" w:ascii="华文中宋" w:hAnsi="华文中宋" w:eastAsia="华文中宋"/>
                <w:szCs w:val="21"/>
              </w:rPr>
              <w:t>（法定代表人身份证复印件反面）</w:t>
            </w:r>
          </w:p>
        </w:tc>
      </w:tr>
    </w:tbl>
    <w:p>
      <w:pPr>
        <w:spacing w:line="400" w:lineRule="exact"/>
        <w:ind w:firstLine="555"/>
        <w:rPr>
          <w:rFonts w:ascii="华文中宋" w:hAnsi="华文中宋" w:eastAsia="华文中宋"/>
          <w:szCs w:val="21"/>
        </w:rPr>
      </w:pPr>
    </w:p>
    <w:tbl>
      <w:tblPr>
        <w:tblStyle w:val="21"/>
        <w:tblW w:w="8210" w:type="dxa"/>
        <w:tblInd w:w="720" w:type="dxa"/>
        <w:tblBorders>
          <w:top w:val="dotDash" w:color="auto" w:sz="2" w:space="0"/>
          <w:left w:val="dotDash" w:color="auto" w:sz="2" w:space="0"/>
          <w:bottom w:val="dotDash" w:color="auto" w:sz="2" w:space="0"/>
          <w:right w:val="dotDash" w:color="auto" w:sz="2" w:space="0"/>
          <w:insideH w:val="dotDash" w:color="auto" w:sz="2" w:space="0"/>
          <w:insideV w:val="dotDash" w:color="auto" w:sz="2" w:space="0"/>
        </w:tblBorders>
        <w:tblLayout w:type="fixed"/>
        <w:tblCellMar>
          <w:top w:w="0" w:type="dxa"/>
          <w:left w:w="108" w:type="dxa"/>
          <w:bottom w:w="0" w:type="dxa"/>
          <w:right w:w="108" w:type="dxa"/>
        </w:tblCellMar>
      </w:tblPr>
      <w:tblGrid>
        <w:gridCol w:w="4105"/>
        <w:gridCol w:w="4105"/>
      </w:tblGrid>
      <w:tr>
        <w:tblPrEx>
          <w:tblBorders>
            <w:top w:val="dotDash" w:color="auto" w:sz="2" w:space="0"/>
            <w:left w:val="dotDash" w:color="auto" w:sz="2" w:space="0"/>
            <w:bottom w:val="dotDash" w:color="auto" w:sz="2" w:space="0"/>
            <w:right w:val="dotDash" w:color="auto" w:sz="2" w:space="0"/>
            <w:insideH w:val="dotDash" w:color="auto" w:sz="2" w:space="0"/>
            <w:insideV w:val="dotDash" w:color="auto" w:sz="2" w:space="0"/>
          </w:tblBorders>
          <w:tblLayout w:type="fixed"/>
          <w:tblCellMar>
            <w:top w:w="0" w:type="dxa"/>
            <w:left w:w="108" w:type="dxa"/>
            <w:bottom w:w="0" w:type="dxa"/>
            <w:right w:w="108" w:type="dxa"/>
          </w:tblCellMar>
        </w:tblPrEx>
        <w:trPr>
          <w:trHeight w:val="2807" w:hRule="atLeast"/>
        </w:trPr>
        <w:tc>
          <w:tcPr>
            <w:tcW w:w="4105" w:type="dxa"/>
          </w:tcPr>
          <w:p>
            <w:pPr>
              <w:spacing w:line="400" w:lineRule="exact"/>
              <w:ind w:firstLine="555"/>
              <w:rPr>
                <w:rFonts w:ascii="华文中宋" w:hAnsi="华文中宋" w:eastAsia="华文中宋"/>
                <w:szCs w:val="21"/>
              </w:rPr>
            </w:pPr>
            <w:r>
              <w:rPr>
                <w:rFonts w:hint="eastAsia" w:ascii="华文中宋" w:hAnsi="华文中宋" w:eastAsia="华文中宋"/>
                <w:szCs w:val="21"/>
              </w:rPr>
              <w:t>（授权代理人身份证复印件正面）</w:t>
            </w:r>
          </w:p>
        </w:tc>
        <w:tc>
          <w:tcPr>
            <w:tcW w:w="4105" w:type="dxa"/>
          </w:tcPr>
          <w:p>
            <w:pPr>
              <w:spacing w:line="400" w:lineRule="exact"/>
              <w:ind w:firstLine="555"/>
              <w:rPr>
                <w:rFonts w:ascii="华文中宋" w:hAnsi="华文中宋" w:eastAsia="华文中宋"/>
                <w:szCs w:val="21"/>
              </w:rPr>
            </w:pPr>
            <w:r>
              <w:rPr>
                <w:rFonts w:hint="eastAsia" w:ascii="华文中宋" w:hAnsi="华文中宋" w:eastAsia="华文中宋"/>
                <w:szCs w:val="21"/>
              </w:rPr>
              <w:t>（授权代理人身份证复印件反面）</w:t>
            </w:r>
          </w:p>
        </w:tc>
      </w:tr>
    </w:tbl>
    <w:p>
      <w:pPr>
        <w:jc w:val="center"/>
        <w:rPr>
          <w:rFonts w:eastAsia="仿宋_GB2312"/>
          <w:b/>
          <w:bCs/>
          <w:sz w:val="44"/>
        </w:rPr>
      </w:pPr>
    </w:p>
    <w:p>
      <w:pPr>
        <w:jc w:val="left"/>
        <w:rPr>
          <w:rFonts w:ascii="黑体" w:hAnsi="宋体" w:eastAsia="黑体"/>
          <w:b/>
          <w:bCs/>
          <w:szCs w:val="21"/>
        </w:rPr>
      </w:pPr>
    </w:p>
    <w:p>
      <w:pPr>
        <w:jc w:val="center"/>
        <w:rPr>
          <w:rFonts w:eastAsia="仿宋_GB2312"/>
          <w:b/>
          <w:bCs/>
          <w:sz w:val="44"/>
        </w:rPr>
      </w:pPr>
    </w:p>
    <w:p>
      <w:pPr>
        <w:jc w:val="center"/>
        <w:rPr>
          <w:rFonts w:eastAsia="仿宋_GB2312"/>
          <w:b/>
          <w:bCs/>
          <w:sz w:val="44"/>
        </w:rPr>
      </w:pPr>
    </w:p>
    <w:p>
      <w:pPr>
        <w:jc w:val="center"/>
        <w:rPr>
          <w:rFonts w:eastAsia="仿宋_GB2312"/>
          <w:b/>
          <w:bCs/>
          <w:sz w:val="44"/>
        </w:rPr>
      </w:pPr>
      <w:r>
        <w:rPr>
          <w:rFonts w:hint="eastAsia" w:eastAsia="仿宋_GB2312"/>
          <w:b/>
          <w:bCs/>
          <w:sz w:val="44"/>
        </w:rPr>
        <w:t>三、法定代表人身份证明书</w:t>
      </w:r>
    </w:p>
    <w:p>
      <w:pPr>
        <w:rPr>
          <w:rFonts w:eastAsia="仿宋_GB2312"/>
          <w:sz w:val="32"/>
        </w:rPr>
      </w:pPr>
    </w:p>
    <w:p>
      <w:pPr>
        <w:spacing w:line="400" w:lineRule="exact"/>
        <w:ind w:firstLine="555"/>
        <w:rPr>
          <w:rFonts w:ascii="华文中宋" w:hAnsi="华文中宋" w:eastAsia="华文中宋"/>
          <w:szCs w:val="21"/>
        </w:rPr>
      </w:pPr>
      <w:r>
        <w:rPr>
          <w:rFonts w:hint="eastAsia" w:ascii="华文中宋" w:hAnsi="华文中宋" w:eastAsia="华文中宋"/>
          <w:szCs w:val="21"/>
        </w:rPr>
        <w:t>，性别：，年龄：岁，籍贯：，民族：，住址： ，身份证号码：，为公司法定代表人，现任公司职务。</w:t>
      </w:r>
    </w:p>
    <w:p>
      <w:pPr>
        <w:spacing w:line="400" w:lineRule="exact"/>
        <w:ind w:firstLine="555"/>
        <w:rPr>
          <w:rFonts w:ascii="华文中宋" w:hAnsi="华文中宋" w:eastAsia="华文中宋"/>
          <w:szCs w:val="21"/>
        </w:rPr>
      </w:pPr>
      <w:r>
        <w:rPr>
          <w:rFonts w:hint="eastAsia" w:ascii="华文中宋" w:hAnsi="华文中宋" w:eastAsia="华文中宋"/>
          <w:szCs w:val="21"/>
        </w:rPr>
        <w:t>特此证明。</w:t>
      </w:r>
    </w:p>
    <w:p>
      <w:pPr>
        <w:spacing w:line="400" w:lineRule="exact"/>
        <w:ind w:firstLine="555"/>
        <w:rPr>
          <w:rFonts w:ascii="华文中宋" w:hAnsi="华文中宋" w:eastAsia="华文中宋"/>
          <w:szCs w:val="21"/>
        </w:rPr>
      </w:pPr>
    </w:p>
    <w:p>
      <w:pPr>
        <w:spacing w:line="400" w:lineRule="exact"/>
        <w:ind w:firstLine="5796" w:firstLineChars="2760"/>
        <w:rPr>
          <w:rFonts w:ascii="华文中宋" w:hAnsi="华文中宋" w:eastAsia="华文中宋"/>
          <w:szCs w:val="21"/>
        </w:rPr>
      </w:pPr>
      <w:r>
        <w:rPr>
          <w:rFonts w:hint="eastAsia" w:ascii="华文中宋" w:hAnsi="华文中宋" w:eastAsia="华文中宋"/>
          <w:szCs w:val="21"/>
        </w:rPr>
        <w:t>单位名称（盖章）：</w:t>
      </w:r>
    </w:p>
    <w:p>
      <w:pPr>
        <w:spacing w:line="400" w:lineRule="exact"/>
        <w:ind w:firstLine="555"/>
        <w:rPr>
          <w:rFonts w:ascii="华文中宋" w:hAnsi="华文中宋" w:eastAsia="华文中宋"/>
          <w:szCs w:val="21"/>
        </w:rPr>
      </w:pPr>
    </w:p>
    <w:p>
      <w:pPr>
        <w:spacing w:line="400" w:lineRule="exact"/>
        <w:ind w:firstLine="6321" w:firstLineChars="3010"/>
        <w:rPr>
          <w:rFonts w:ascii="华文中宋" w:hAnsi="华文中宋" w:eastAsia="华文中宋"/>
          <w:szCs w:val="21"/>
        </w:rPr>
      </w:pPr>
      <w:r>
        <w:rPr>
          <w:rFonts w:hint="eastAsia" w:ascii="华文中宋" w:hAnsi="华文中宋" w:eastAsia="华文中宋"/>
          <w:szCs w:val="21"/>
        </w:rPr>
        <w:t>年  月    日</w:t>
      </w:r>
    </w:p>
    <w:tbl>
      <w:tblPr>
        <w:tblStyle w:val="21"/>
        <w:tblpPr w:leftFromText="180" w:rightFromText="180" w:vertAnchor="text" w:horzAnchor="margin" w:tblpXSpec="center" w:tblpY="279"/>
        <w:tblW w:w="8210" w:type="dxa"/>
        <w:tblInd w:w="0" w:type="dxa"/>
        <w:tblBorders>
          <w:top w:val="dotDash" w:color="auto" w:sz="2" w:space="0"/>
          <w:left w:val="dotDash" w:color="auto" w:sz="2" w:space="0"/>
          <w:bottom w:val="dotDash" w:color="auto" w:sz="2" w:space="0"/>
          <w:right w:val="dotDash" w:color="auto" w:sz="2" w:space="0"/>
          <w:insideH w:val="dotDash" w:color="auto" w:sz="2" w:space="0"/>
          <w:insideV w:val="dotDash" w:color="auto" w:sz="2" w:space="0"/>
        </w:tblBorders>
        <w:tblLayout w:type="fixed"/>
        <w:tblCellMar>
          <w:top w:w="0" w:type="dxa"/>
          <w:left w:w="108" w:type="dxa"/>
          <w:bottom w:w="0" w:type="dxa"/>
          <w:right w:w="108" w:type="dxa"/>
        </w:tblCellMar>
      </w:tblPr>
      <w:tblGrid>
        <w:gridCol w:w="4105"/>
        <w:gridCol w:w="4105"/>
      </w:tblGrid>
      <w:tr>
        <w:tblPrEx>
          <w:tblBorders>
            <w:top w:val="dotDash" w:color="auto" w:sz="2" w:space="0"/>
            <w:left w:val="dotDash" w:color="auto" w:sz="2" w:space="0"/>
            <w:bottom w:val="dotDash" w:color="auto" w:sz="2" w:space="0"/>
            <w:right w:val="dotDash" w:color="auto" w:sz="2" w:space="0"/>
            <w:insideH w:val="dotDash" w:color="auto" w:sz="2" w:space="0"/>
            <w:insideV w:val="dotDash" w:color="auto" w:sz="2" w:space="0"/>
          </w:tblBorders>
          <w:tblLayout w:type="fixed"/>
          <w:tblCellMar>
            <w:top w:w="0" w:type="dxa"/>
            <w:left w:w="108" w:type="dxa"/>
            <w:bottom w:w="0" w:type="dxa"/>
            <w:right w:w="108" w:type="dxa"/>
          </w:tblCellMar>
        </w:tblPrEx>
        <w:trPr>
          <w:trHeight w:val="3171" w:hRule="atLeast"/>
        </w:trPr>
        <w:tc>
          <w:tcPr>
            <w:tcW w:w="4105" w:type="dxa"/>
          </w:tcPr>
          <w:p>
            <w:pPr>
              <w:spacing w:line="400" w:lineRule="exact"/>
              <w:ind w:firstLine="555"/>
              <w:rPr>
                <w:rFonts w:ascii="华文中宋" w:hAnsi="华文中宋" w:eastAsia="华文中宋"/>
                <w:szCs w:val="21"/>
              </w:rPr>
            </w:pPr>
            <w:r>
              <w:rPr>
                <w:rFonts w:hint="eastAsia" w:ascii="华文中宋" w:hAnsi="华文中宋" w:eastAsia="华文中宋"/>
                <w:szCs w:val="21"/>
              </w:rPr>
              <w:t>（法定代表人身份证复印件正面）</w:t>
            </w:r>
          </w:p>
        </w:tc>
        <w:tc>
          <w:tcPr>
            <w:tcW w:w="4105" w:type="dxa"/>
          </w:tcPr>
          <w:p>
            <w:pPr>
              <w:spacing w:line="400" w:lineRule="exact"/>
              <w:ind w:firstLine="555"/>
              <w:rPr>
                <w:rFonts w:ascii="华文中宋" w:hAnsi="华文中宋" w:eastAsia="华文中宋"/>
                <w:szCs w:val="21"/>
              </w:rPr>
            </w:pPr>
            <w:r>
              <w:rPr>
                <w:rFonts w:hint="eastAsia" w:ascii="华文中宋" w:hAnsi="华文中宋" w:eastAsia="华文中宋"/>
                <w:szCs w:val="21"/>
              </w:rPr>
              <w:t>（法定代表人身份证复印件反面）</w:t>
            </w:r>
          </w:p>
        </w:tc>
      </w:tr>
    </w:tbl>
    <w:p>
      <w:pPr>
        <w:rPr>
          <w:rFonts w:eastAsia="仿宋_GB2312"/>
          <w:sz w:val="36"/>
        </w:rPr>
      </w:pPr>
    </w:p>
    <w:p>
      <w:pPr>
        <w:jc w:val="left"/>
        <w:rPr>
          <w:rFonts w:ascii="黑体" w:hAnsi="宋体" w:eastAsia="黑体"/>
          <w:b/>
          <w:bCs/>
          <w:szCs w:val="21"/>
        </w:rPr>
      </w:pPr>
    </w:p>
    <w:p>
      <w:pPr>
        <w:jc w:val="left"/>
        <w:rPr>
          <w:rFonts w:ascii="黑体" w:hAnsi="宋体" w:eastAsia="黑体"/>
          <w:b/>
          <w:bCs/>
          <w:szCs w:val="21"/>
        </w:rPr>
      </w:pPr>
    </w:p>
    <w:p>
      <w:pPr>
        <w:jc w:val="left"/>
        <w:rPr>
          <w:rFonts w:ascii="黑体" w:hAnsi="宋体" w:eastAsia="黑体"/>
          <w:b/>
          <w:bCs/>
          <w:szCs w:val="21"/>
        </w:rPr>
      </w:pPr>
    </w:p>
    <w:p>
      <w:pPr>
        <w:jc w:val="left"/>
        <w:rPr>
          <w:rFonts w:ascii="黑体" w:hAnsi="宋体" w:eastAsia="黑体"/>
          <w:b/>
          <w:bCs/>
          <w:szCs w:val="21"/>
        </w:rPr>
      </w:pPr>
    </w:p>
    <w:p>
      <w:pPr>
        <w:jc w:val="left"/>
        <w:rPr>
          <w:rFonts w:ascii="黑体" w:hAnsi="宋体" w:eastAsia="黑体"/>
          <w:b/>
          <w:bCs/>
          <w:szCs w:val="21"/>
        </w:rPr>
      </w:pPr>
    </w:p>
    <w:p>
      <w:pPr>
        <w:jc w:val="left"/>
        <w:rPr>
          <w:rFonts w:ascii="黑体" w:hAnsi="宋体" w:eastAsia="黑体"/>
          <w:b/>
          <w:bCs/>
          <w:szCs w:val="21"/>
        </w:rPr>
      </w:pPr>
    </w:p>
    <w:p>
      <w:pPr>
        <w:jc w:val="left"/>
        <w:rPr>
          <w:rFonts w:ascii="黑体" w:hAnsi="宋体" w:eastAsia="黑体"/>
          <w:b/>
          <w:bCs/>
          <w:szCs w:val="21"/>
        </w:rPr>
      </w:pPr>
    </w:p>
    <w:p>
      <w:pPr>
        <w:jc w:val="left"/>
        <w:rPr>
          <w:rFonts w:ascii="黑体" w:hAnsi="宋体" w:eastAsia="黑体"/>
          <w:b/>
          <w:bCs/>
          <w:szCs w:val="21"/>
        </w:rPr>
      </w:pPr>
    </w:p>
    <w:p>
      <w:pPr>
        <w:jc w:val="left"/>
        <w:rPr>
          <w:rFonts w:ascii="黑体" w:hAnsi="宋体" w:eastAsia="黑体"/>
          <w:b/>
          <w:bCs/>
          <w:szCs w:val="21"/>
        </w:rPr>
      </w:pPr>
    </w:p>
    <w:p>
      <w:pPr>
        <w:rPr>
          <w:rFonts w:ascii="宋体" w:hAnsi="宋体"/>
          <w:szCs w:val="21"/>
        </w:rPr>
      </w:pPr>
    </w:p>
    <w:p>
      <w:pPr>
        <w:jc w:val="center"/>
        <w:outlineLvl w:val="1"/>
        <w:rPr>
          <w:rFonts w:ascii="华文中宋" w:hAnsi="华文中宋" w:eastAsia="华文中宋"/>
          <w:b/>
          <w:sz w:val="44"/>
          <w:szCs w:val="44"/>
        </w:rPr>
      </w:pPr>
    </w:p>
    <w:p>
      <w:pPr>
        <w:jc w:val="center"/>
        <w:outlineLvl w:val="1"/>
        <w:rPr>
          <w:rFonts w:ascii="华文中宋" w:hAnsi="华文中宋" w:eastAsia="华文中宋"/>
          <w:b/>
          <w:sz w:val="44"/>
          <w:szCs w:val="44"/>
        </w:rPr>
      </w:pPr>
    </w:p>
    <w:p>
      <w:pPr>
        <w:tabs>
          <w:tab w:val="left" w:pos="6300"/>
        </w:tabs>
        <w:snapToGrid w:val="0"/>
        <w:spacing w:line="480" w:lineRule="auto"/>
        <w:rPr>
          <w:rFonts w:ascii="华文中宋" w:hAnsi="华文中宋" w:eastAsia="华文中宋"/>
          <w:b/>
          <w:szCs w:val="21"/>
        </w:rPr>
      </w:pPr>
      <w:bookmarkStart w:id="2" w:name="_Toc354044653"/>
    </w:p>
    <w:p>
      <w:pPr>
        <w:tabs>
          <w:tab w:val="left" w:pos="6300"/>
        </w:tabs>
        <w:snapToGrid w:val="0"/>
        <w:spacing w:line="480" w:lineRule="auto"/>
        <w:jc w:val="center"/>
        <w:rPr>
          <w:rFonts w:ascii="华文中宋" w:hAnsi="华文中宋" w:eastAsia="华文中宋"/>
          <w:b/>
          <w:szCs w:val="21"/>
        </w:rPr>
      </w:pPr>
      <w:r>
        <w:rPr>
          <w:rFonts w:hint="eastAsia" w:ascii="华文中宋" w:hAnsi="华文中宋" w:eastAsia="华文中宋"/>
          <w:b/>
          <w:szCs w:val="21"/>
        </w:rPr>
        <w:t>四、资格、技术、商务部份</w:t>
      </w:r>
    </w:p>
    <w:p>
      <w:pPr>
        <w:tabs>
          <w:tab w:val="left" w:pos="6300"/>
        </w:tabs>
        <w:snapToGrid w:val="0"/>
        <w:spacing w:line="480" w:lineRule="auto"/>
        <w:rPr>
          <w:rFonts w:ascii="华文中宋" w:hAnsi="华文中宋" w:eastAsia="华文中宋"/>
          <w:b/>
          <w:szCs w:val="21"/>
        </w:rPr>
      </w:pPr>
    </w:p>
    <w:p>
      <w:pPr>
        <w:tabs>
          <w:tab w:val="left" w:pos="6300"/>
        </w:tabs>
        <w:snapToGrid w:val="0"/>
        <w:spacing w:line="480" w:lineRule="auto"/>
        <w:rPr>
          <w:rFonts w:ascii="华文中宋" w:hAnsi="华文中宋" w:eastAsia="华文中宋"/>
          <w:b/>
          <w:szCs w:val="21"/>
        </w:rPr>
      </w:pPr>
      <w:r>
        <w:rPr>
          <w:rFonts w:hint="eastAsia" w:ascii="华文中宋" w:hAnsi="华文中宋" w:eastAsia="华文中宋"/>
          <w:b/>
          <w:szCs w:val="21"/>
        </w:rPr>
        <w:t>1、</w:t>
      </w:r>
      <w:r>
        <w:rPr>
          <w:rFonts w:hint="eastAsia" w:ascii="华文中宋" w:hAnsi="华文中宋" w:eastAsia="华文中宋"/>
          <w:b/>
          <w:kern w:val="0"/>
          <w:szCs w:val="21"/>
        </w:rPr>
        <w:t>诚信声明</w:t>
      </w:r>
    </w:p>
    <w:p>
      <w:pPr>
        <w:tabs>
          <w:tab w:val="left" w:pos="6300"/>
        </w:tabs>
        <w:snapToGrid w:val="0"/>
        <w:spacing w:line="480" w:lineRule="auto"/>
        <w:rPr>
          <w:rFonts w:ascii="华文中宋" w:hAnsi="华文中宋" w:eastAsia="华文中宋"/>
          <w:szCs w:val="21"/>
        </w:rPr>
      </w:pPr>
      <w:r>
        <w:rPr>
          <w:rFonts w:hint="eastAsia" w:ascii="华文中宋" w:hAnsi="华文中宋" w:eastAsia="华文中宋"/>
          <w:szCs w:val="21"/>
        </w:rPr>
        <w:t>致：</w:t>
      </w:r>
      <w:r>
        <w:rPr>
          <w:rFonts w:hint="eastAsia" w:ascii="华文中宋" w:hAnsi="华文中宋" w:eastAsia="华文中宋"/>
          <w:szCs w:val="21"/>
          <w:u w:val="single"/>
        </w:rPr>
        <w:t>重庆能投渝新能源有限公司</w:t>
      </w:r>
    </w:p>
    <w:p>
      <w:pPr>
        <w:spacing w:line="480" w:lineRule="auto"/>
        <w:ind w:firstLine="420" w:firstLineChars="200"/>
        <w:rPr>
          <w:rFonts w:ascii="华文中宋" w:hAnsi="华文中宋" w:eastAsia="华文中宋"/>
          <w:kern w:val="0"/>
          <w:szCs w:val="21"/>
          <w:u w:val="single"/>
        </w:rPr>
      </w:pPr>
      <w:r>
        <w:rPr>
          <w:rFonts w:hint="eastAsia" w:ascii="华文中宋" w:hAnsi="华文中宋" w:eastAsia="华文中宋"/>
          <w:kern w:val="0"/>
          <w:szCs w:val="21"/>
        </w:rPr>
        <w:t>参选人申明：</w:t>
      </w:r>
      <w:r>
        <w:rPr>
          <w:rFonts w:hint="eastAsia" w:ascii="华文中宋" w:hAnsi="华文中宋" w:eastAsia="华文中宋"/>
          <w:color w:val="FF0000"/>
          <w:kern w:val="0"/>
          <w:szCs w:val="21"/>
          <w:u w:val="single"/>
        </w:rPr>
        <w:t>本</w:t>
      </w:r>
      <w:r>
        <w:rPr>
          <w:rFonts w:hint="eastAsia" w:ascii="华文中宋" w:hAnsi="华文中宋" w:eastAsia="华文中宋"/>
          <w:kern w:val="0"/>
          <w:szCs w:val="21"/>
          <w:u w:val="single"/>
        </w:rPr>
        <w:t>参选人比选文件中提供的各项证明材料都是真实、可靠性的。若在评审及后续工作中若发现证明材料的真实性、可靠性存在弄虚作假等行为，邀请人有权取消</w:t>
      </w:r>
      <w:r>
        <w:rPr>
          <w:rFonts w:hint="eastAsia" w:ascii="华文中宋" w:hAnsi="华文中宋" w:eastAsia="华文中宋"/>
          <w:color w:val="FF0000"/>
          <w:kern w:val="0"/>
          <w:szCs w:val="21"/>
          <w:u w:val="single"/>
        </w:rPr>
        <w:t>本</w:t>
      </w:r>
      <w:r>
        <w:rPr>
          <w:rFonts w:hint="eastAsia" w:ascii="华文中宋" w:hAnsi="华文中宋" w:eastAsia="华文中宋"/>
          <w:kern w:val="0"/>
          <w:szCs w:val="21"/>
          <w:u w:val="single"/>
        </w:rPr>
        <w:t>参选人中选资格、没收</w:t>
      </w:r>
      <w:r>
        <w:rPr>
          <w:rFonts w:hint="eastAsia" w:ascii="华文中宋" w:hAnsi="华文中宋" w:eastAsia="华文中宋"/>
          <w:color w:val="FF0000"/>
          <w:kern w:val="0"/>
          <w:szCs w:val="21"/>
          <w:u w:val="single"/>
        </w:rPr>
        <w:t>本</w:t>
      </w:r>
      <w:r>
        <w:rPr>
          <w:rFonts w:hint="eastAsia" w:ascii="华文中宋" w:hAnsi="华文中宋" w:eastAsia="华文中宋"/>
          <w:kern w:val="0"/>
          <w:szCs w:val="21"/>
          <w:u w:val="single"/>
        </w:rPr>
        <w:t>参选人保证金（或履约保证金）、</w:t>
      </w:r>
      <w:r>
        <w:rPr>
          <w:rFonts w:hint="eastAsia" w:ascii="华文中宋" w:hAnsi="华文中宋" w:eastAsia="华文中宋"/>
          <w:color w:val="FF0000"/>
          <w:kern w:val="0"/>
          <w:szCs w:val="21"/>
          <w:u w:val="single"/>
        </w:rPr>
        <w:t>本</w:t>
      </w:r>
      <w:r>
        <w:rPr>
          <w:rFonts w:hint="eastAsia" w:ascii="华文中宋" w:hAnsi="华文中宋" w:eastAsia="华文中宋"/>
          <w:kern w:val="0"/>
          <w:szCs w:val="21"/>
          <w:u w:val="single"/>
        </w:rPr>
        <w:t>参选人愿赔偿相应损失并承担一切法律责任。</w:t>
      </w:r>
    </w:p>
    <w:p>
      <w:pPr>
        <w:spacing w:line="480" w:lineRule="auto"/>
        <w:ind w:firstLine="701" w:firstLineChars="334"/>
        <w:rPr>
          <w:rFonts w:ascii="华文中宋" w:hAnsi="华文中宋" w:eastAsia="华文中宋"/>
          <w:kern w:val="0"/>
          <w:szCs w:val="21"/>
          <w:u w:val="single"/>
        </w:rPr>
      </w:pPr>
    </w:p>
    <w:p>
      <w:pPr>
        <w:spacing w:line="400" w:lineRule="exact"/>
        <w:ind w:firstLine="701" w:firstLineChars="334"/>
        <w:rPr>
          <w:rFonts w:ascii="华文中宋" w:hAnsi="华文中宋" w:eastAsia="华文中宋"/>
          <w:kern w:val="0"/>
          <w:szCs w:val="21"/>
          <w:u w:val="single"/>
        </w:rPr>
      </w:pPr>
    </w:p>
    <w:p>
      <w:pPr>
        <w:spacing w:line="400" w:lineRule="exact"/>
        <w:ind w:firstLine="701" w:firstLineChars="334"/>
        <w:rPr>
          <w:rFonts w:ascii="华文中宋" w:hAnsi="华文中宋" w:eastAsia="华文中宋"/>
          <w:kern w:val="0"/>
          <w:szCs w:val="21"/>
          <w:u w:val="single"/>
        </w:rPr>
      </w:pPr>
    </w:p>
    <w:p>
      <w:pPr>
        <w:tabs>
          <w:tab w:val="left" w:pos="6300"/>
        </w:tabs>
        <w:snapToGrid w:val="0"/>
        <w:spacing w:line="400" w:lineRule="exact"/>
        <w:ind w:right="420" w:firstLine="4934" w:firstLineChars="2347"/>
        <w:jc w:val="left"/>
        <w:rPr>
          <w:rFonts w:ascii="华文中宋" w:hAnsi="华文中宋" w:eastAsia="华文中宋"/>
          <w:b/>
          <w:szCs w:val="21"/>
        </w:rPr>
      </w:pPr>
    </w:p>
    <w:p>
      <w:pPr>
        <w:tabs>
          <w:tab w:val="left" w:pos="6300"/>
        </w:tabs>
        <w:snapToGrid w:val="0"/>
        <w:spacing w:line="400" w:lineRule="exact"/>
        <w:ind w:right="420" w:firstLine="4934" w:firstLineChars="2347"/>
        <w:jc w:val="left"/>
        <w:rPr>
          <w:rFonts w:ascii="华文中宋" w:hAnsi="华文中宋" w:eastAsia="华文中宋"/>
          <w:b/>
          <w:szCs w:val="21"/>
        </w:rPr>
      </w:pPr>
      <w:r>
        <w:rPr>
          <w:rFonts w:hint="eastAsia" w:ascii="华文中宋" w:hAnsi="华文中宋" w:eastAsia="华文中宋"/>
          <w:b/>
          <w:szCs w:val="21"/>
        </w:rPr>
        <w:t>参选人（公章）：</w:t>
      </w:r>
    </w:p>
    <w:p>
      <w:pPr>
        <w:tabs>
          <w:tab w:val="left" w:pos="6300"/>
        </w:tabs>
        <w:snapToGrid w:val="0"/>
        <w:spacing w:line="400" w:lineRule="exact"/>
        <w:ind w:right="420" w:firstLine="4934" w:firstLineChars="2347"/>
        <w:jc w:val="left"/>
        <w:rPr>
          <w:rFonts w:ascii="华文中宋" w:hAnsi="华文中宋" w:eastAsia="华文中宋"/>
          <w:b/>
          <w:szCs w:val="21"/>
        </w:rPr>
      </w:pPr>
    </w:p>
    <w:p>
      <w:pPr>
        <w:spacing w:line="400" w:lineRule="exact"/>
        <w:ind w:right="105" w:firstLine="3380" w:firstLineChars="1608"/>
        <w:jc w:val="left"/>
        <w:rPr>
          <w:rFonts w:ascii="华文中宋" w:hAnsi="华文中宋" w:eastAsia="华文中宋"/>
          <w:b/>
          <w:szCs w:val="21"/>
        </w:rPr>
      </w:pPr>
      <w:r>
        <w:rPr>
          <w:rFonts w:hint="eastAsia" w:ascii="华文中宋" w:hAnsi="华文中宋" w:eastAsia="华文中宋"/>
          <w:b/>
          <w:szCs w:val="21"/>
        </w:rPr>
        <w:t>法定代表人或其委托代理人：（盖章或签字）</w:t>
      </w:r>
    </w:p>
    <w:p>
      <w:pPr>
        <w:spacing w:line="400" w:lineRule="exact"/>
        <w:ind w:right="900" w:firstLine="5040" w:firstLineChars="2400"/>
        <w:jc w:val="right"/>
        <w:rPr>
          <w:rFonts w:ascii="华文中宋" w:hAnsi="华文中宋" w:eastAsia="华文中宋"/>
          <w:szCs w:val="21"/>
        </w:rPr>
      </w:pPr>
      <w:r>
        <w:rPr>
          <w:rFonts w:hint="eastAsia" w:ascii="华文中宋" w:hAnsi="华文中宋" w:eastAsia="华文中宋"/>
          <w:szCs w:val="21"/>
        </w:rPr>
        <w:t xml:space="preserve">  年    月    日</w:t>
      </w:r>
    </w:p>
    <w:p>
      <w:pPr>
        <w:spacing w:line="400" w:lineRule="exact"/>
        <w:ind w:right="900" w:firstLine="5040" w:firstLineChars="2400"/>
        <w:jc w:val="left"/>
        <w:rPr>
          <w:rFonts w:ascii="华文中宋" w:hAnsi="华文中宋" w:eastAsia="华文中宋"/>
          <w:szCs w:val="21"/>
        </w:rPr>
      </w:pPr>
    </w:p>
    <w:p>
      <w:pPr>
        <w:spacing w:line="400" w:lineRule="exact"/>
        <w:ind w:right="900" w:firstLine="5040" w:firstLineChars="2400"/>
        <w:jc w:val="left"/>
        <w:rPr>
          <w:rFonts w:ascii="华文中宋" w:hAnsi="华文中宋" w:eastAsia="华文中宋"/>
          <w:szCs w:val="21"/>
        </w:rPr>
      </w:pPr>
    </w:p>
    <w:p>
      <w:pPr>
        <w:tabs>
          <w:tab w:val="left" w:pos="6300"/>
        </w:tabs>
        <w:snapToGrid w:val="0"/>
        <w:spacing w:line="480" w:lineRule="auto"/>
        <w:rPr>
          <w:rFonts w:ascii="华文中宋" w:hAnsi="华文中宋" w:eastAsia="华文中宋"/>
          <w:b/>
          <w:szCs w:val="21"/>
        </w:rPr>
      </w:pPr>
    </w:p>
    <w:p>
      <w:pPr>
        <w:tabs>
          <w:tab w:val="left" w:pos="6300"/>
        </w:tabs>
        <w:snapToGrid w:val="0"/>
        <w:spacing w:line="480" w:lineRule="auto"/>
        <w:rPr>
          <w:rFonts w:ascii="华文中宋" w:hAnsi="华文中宋" w:eastAsia="华文中宋"/>
          <w:b/>
          <w:szCs w:val="21"/>
        </w:rPr>
      </w:pPr>
    </w:p>
    <w:p>
      <w:pPr>
        <w:tabs>
          <w:tab w:val="left" w:pos="6300"/>
        </w:tabs>
        <w:snapToGrid w:val="0"/>
        <w:spacing w:line="480" w:lineRule="auto"/>
        <w:rPr>
          <w:rFonts w:ascii="华文中宋" w:hAnsi="华文中宋" w:eastAsia="华文中宋"/>
          <w:b/>
          <w:szCs w:val="21"/>
        </w:rPr>
      </w:pPr>
    </w:p>
    <w:p>
      <w:pPr>
        <w:tabs>
          <w:tab w:val="left" w:pos="6300"/>
        </w:tabs>
        <w:snapToGrid w:val="0"/>
        <w:spacing w:line="480" w:lineRule="auto"/>
        <w:rPr>
          <w:rFonts w:ascii="华文中宋" w:hAnsi="华文中宋" w:eastAsia="华文中宋"/>
          <w:b/>
          <w:szCs w:val="21"/>
        </w:rPr>
      </w:pPr>
    </w:p>
    <w:p>
      <w:pPr>
        <w:tabs>
          <w:tab w:val="left" w:pos="6300"/>
        </w:tabs>
        <w:snapToGrid w:val="0"/>
        <w:spacing w:line="480" w:lineRule="auto"/>
        <w:rPr>
          <w:rFonts w:ascii="华文中宋" w:hAnsi="华文中宋" w:eastAsia="华文中宋"/>
          <w:b/>
          <w:szCs w:val="21"/>
        </w:rPr>
      </w:pPr>
    </w:p>
    <w:p>
      <w:pPr>
        <w:tabs>
          <w:tab w:val="left" w:pos="6300"/>
        </w:tabs>
        <w:snapToGrid w:val="0"/>
        <w:spacing w:line="480" w:lineRule="auto"/>
        <w:rPr>
          <w:rFonts w:ascii="华文中宋" w:hAnsi="华文中宋" w:eastAsia="华文中宋"/>
          <w:b/>
          <w:szCs w:val="21"/>
        </w:rPr>
      </w:pPr>
    </w:p>
    <w:p>
      <w:pPr>
        <w:tabs>
          <w:tab w:val="left" w:pos="6300"/>
        </w:tabs>
        <w:snapToGrid w:val="0"/>
        <w:spacing w:line="480" w:lineRule="auto"/>
        <w:rPr>
          <w:rFonts w:ascii="华文中宋" w:hAnsi="华文中宋" w:eastAsia="华文中宋"/>
          <w:b/>
          <w:szCs w:val="21"/>
        </w:rPr>
      </w:pPr>
      <w:r>
        <w:rPr>
          <w:rFonts w:hint="eastAsia" w:ascii="华文中宋" w:hAnsi="华文中宋" w:eastAsia="华文中宋"/>
          <w:b/>
          <w:szCs w:val="21"/>
        </w:rPr>
        <w:t>2、</w:t>
      </w:r>
      <w:r>
        <w:rPr>
          <w:rFonts w:hint="eastAsia" w:ascii="华文中宋" w:hAnsi="华文中宋" w:eastAsia="华文中宋"/>
          <w:b/>
          <w:kern w:val="0"/>
          <w:szCs w:val="21"/>
        </w:rPr>
        <w:t>承诺</w:t>
      </w:r>
    </w:p>
    <w:p>
      <w:pPr>
        <w:tabs>
          <w:tab w:val="left" w:pos="6300"/>
        </w:tabs>
        <w:snapToGrid w:val="0"/>
        <w:spacing w:line="480" w:lineRule="auto"/>
        <w:rPr>
          <w:rFonts w:ascii="华文中宋" w:hAnsi="华文中宋" w:eastAsia="华文中宋"/>
          <w:szCs w:val="21"/>
        </w:rPr>
      </w:pPr>
      <w:r>
        <w:rPr>
          <w:rFonts w:hint="eastAsia" w:ascii="华文中宋" w:hAnsi="华文中宋" w:eastAsia="华文中宋"/>
          <w:szCs w:val="21"/>
        </w:rPr>
        <w:t>致：</w:t>
      </w:r>
      <w:r>
        <w:rPr>
          <w:rFonts w:hint="eastAsia" w:ascii="华文中宋" w:hAnsi="华文中宋" w:eastAsia="华文中宋"/>
          <w:szCs w:val="21"/>
          <w:u w:val="single"/>
        </w:rPr>
        <w:t>重庆能投渝新能源有限公司</w:t>
      </w:r>
    </w:p>
    <w:p>
      <w:pPr>
        <w:spacing w:line="480" w:lineRule="auto"/>
        <w:ind w:firstLine="701" w:firstLineChars="334"/>
        <w:rPr>
          <w:rFonts w:ascii="华文中宋" w:hAnsi="华文中宋" w:eastAsia="华文中宋"/>
          <w:kern w:val="0"/>
          <w:szCs w:val="21"/>
          <w:u w:val="single"/>
        </w:rPr>
      </w:pPr>
      <w:r>
        <w:rPr>
          <w:rFonts w:hint="eastAsia" w:ascii="华文中宋" w:hAnsi="华文中宋" w:eastAsia="华文中宋"/>
          <w:color w:val="FF0000"/>
          <w:kern w:val="0"/>
          <w:szCs w:val="21"/>
        </w:rPr>
        <w:t>本</w:t>
      </w:r>
      <w:r>
        <w:rPr>
          <w:rFonts w:hint="eastAsia" w:ascii="华文中宋" w:hAnsi="华文中宋" w:eastAsia="华文中宋"/>
          <w:kern w:val="0"/>
          <w:szCs w:val="21"/>
        </w:rPr>
        <w:t>参选人承诺：</w:t>
      </w:r>
      <w:r>
        <w:rPr>
          <w:rFonts w:hint="eastAsia" w:ascii="华文中宋" w:hAnsi="华文中宋" w:eastAsia="华文中宋"/>
          <w:kern w:val="0"/>
          <w:szCs w:val="21"/>
          <w:u w:val="single"/>
        </w:rPr>
        <w:t>未经重庆能投渝新能源有限公司允许，</w:t>
      </w:r>
      <w:r>
        <w:rPr>
          <w:rFonts w:hint="eastAsia" w:ascii="华文中宋" w:hAnsi="华文中宋" w:eastAsia="华文中宋"/>
          <w:color w:val="FF0000"/>
          <w:kern w:val="0"/>
          <w:szCs w:val="21"/>
        </w:rPr>
        <w:t>本</w:t>
      </w:r>
      <w:r>
        <w:rPr>
          <w:rFonts w:hint="eastAsia" w:ascii="华文中宋" w:hAnsi="华文中宋" w:eastAsia="华文中宋"/>
          <w:kern w:val="0"/>
          <w:szCs w:val="21"/>
          <w:u w:val="single"/>
        </w:rPr>
        <w:t>参选人不能随意变更、撤退人员。中选</w:t>
      </w:r>
      <w:r>
        <w:rPr>
          <w:rFonts w:hint="eastAsia" w:ascii="华文中宋" w:hAnsi="华文中宋" w:eastAsia="华文中宋"/>
          <w:color w:val="FF0000"/>
          <w:kern w:val="0"/>
          <w:szCs w:val="21"/>
          <w:u w:val="single"/>
        </w:rPr>
        <w:t>后，</w:t>
      </w:r>
      <w:r>
        <w:rPr>
          <w:rFonts w:hint="eastAsia" w:ascii="华文中宋" w:hAnsi="华文中宋" w:eastAsia="华文中宋"/>
          <w:color w:val="FF0000"/>
          <w:kern w:val="0"/>
          <w:szCs w:val="21"/>
        </w:rPr>
        <w:t>本</w:t>
      </w:r>
      <w:r>
        <w:rPr>
          <w:rFonts w:hint="eastAsia" w:ascii="华文中宋" w:hAnsi="华文中宋" w:eastAsia="华文中宋"/>
          <w:kern w:val="0"/>
          <w:szCs w:val="21"/>
          <w:u w:val="single"/>
        </w:rPr>
        <w:t xml:space="preserve">参选人在履行合同过程中遵守重庆能投渝新能源有限公司相关规章制度。 </w:t>
      </w:r>
    </w:p>
    <w:p>
      <w:pPr>
        <w:tabs>
          <w:tab w:val="left" w:pos="6300"/>
        </w:tabs>
        <w:snapToGrid w:val="0"/>
        <w:spacing w:line="400" w:lineRule="exact"/>
        <w:ind w:right="420" w:firstLine="4065" w:firstLineChars="1934"/>
        <w:jc w:val="left"/>
        <w:rPr>
          <w:rFonts w:ascii="华文中宋" w:hAnsi="华文中宋" w:eastAsia="华文中宋"/>
          <w:b/>
          <w:szCs w:val="21"/>
        </w:rPr>
      </w:pPr>
    </w:p>
    <w:p>
      <w:pPr>
        <w:tabs>
          <w:tab w:val="left" w:pos="6300"/>
        </w:tabs>
        <w:snapToGrid w:val="0"/>
        <w:spacing w:line="400" w:lineRule="exact"/>
        <w:ind w:right="420" w:firstLine="4065" w:firstLineChars="1934"/>
        <w:jc w:val="left"/>
        <w:rPr>
          <w:rFonts w:ascii="华文中宋" w:hAnsi="华文中宋" w:eastAsia="华文中宋"/>
          <w:b/>
          <w:szCs w:val="21"/>
        </w:rPr>
      </w:pPr>
    </w:p>
    <w:p>
      <w:pPr>
        <w:tabs>
          <w:tab w:val="left" w:pos="6300"/>
        </w:tabs>
        <w:snapToGrid w:val="0"/>
        <w:spacing w:line="400" w:lineRule="exact"/>
        <w:ind w:right="420" w:firstLine="4065" w:firstLineChars="1934"/>
        <w:jc w:val="left"/>
        <w:rPr>
          <w:rFonts w:ascii="华文中宋" w:hAnsi="华文中宋" w:eastAsia="华文中宋"/>
          <w:b/>
          <w:szCs w:val="21"/>
        </w:rPr>
      </w:pPr>
    </w:p>
    <w:p>
      <w:pPr>
        <w:tabs>
          <w:tab w:val="left" w:pos="6300"/>
        </w:tabs>
        <w:snapToGrid w:val="0"/>
        <w:spacing w:line="400" w:lineRule="exact"/>
        <w:ind w:right="420" w:firstLine="4065" w:firstLineChars="1934"/>
        <w:jc w:val="left"/>
        <w:rPr>
          <w:rFonts w:ascii="华文中宋" w:hAnsi="华文中宋" w:eastAsia="华文中宋"/>
          <w:b/>
          <w:szCs w:val="21"/>
        </w:rPr>
      </w:pPr>
      <w:r>
        <w:rPr>
          <w:rFonts w:hint="eastAsia" w:ascii="华文中宋" w:hAnsi="华文中宋" w:eastAsia="华文中宋"/>
          <w:b/>
          <w:szCs w:val="21"/>
        </w:rPr>
        <w:t>参选人（公章）：</w:t>
      </w:r>
    </w:p>
    <w:p>
      <w:pPr>
        <w:spacing w:line="400" w:lineRule="exact"/>
        <w:ind w:right="900" w:firstLine="210" w:firstLineChars="100"/>
        <w:jc w:val="left"/>
        <w:rPr>
          <w:rFonts w:ascii="华文中宋" w:hAnsi="华文中宋" w:eastAsia="华文中宋"/>
          <w:b/>
          <w:szCs w:val="21"/>
        </w:rPr>
      </w:pPr>
    </w:p>
    <w:p>
      <w:pPr>
        <w:spacing w:line="400" w:lineRule="exact"/>
        <w:ind w:right="900" w:firstLine="210" w:firstLineChars="100"/>
        <w:jc w:val="right"/>
        <w:rPr>
          <w:rFonts w:ascii="华文中宋" w:hAnsi="华文中宋" w:eastAsia="华文中宋"/>
          <w:szCs w:val="21"/>
        </w:rPr>
      </w:pPr>
      <w:r>
        <w:rPr>
          <w:rFonts w:hint="eastAsia" w:ascii="华文中宋" w:hAnsi="华文中宋" w:eastAsia="华文中宋"/>
          <w:szCs w:val="21"/>
        </w:rPr>
        <w:t xml:space="preserve"> 年    月    日</w:t>
      </w:r>
    </w:p>
    <w:p>
      <w:pPr>
        <w:spacing w:line="480" w:lineRule="auto"/>
        <w:ind w:firstLine="701" w:firstLineChars="334"/>
        <w:rPr>
          <w:rFonts w:ascii="华文中宋" w:hAnsi="华文中宋" w:eastAsia="华文中宋"/>
          <w:kern w:val="0"/>
          <w:szCs w:val="21"/>
          <w:u w:val="single"/>
        </w:rPr>
      </w:pPr>
    </w:p>
    <w:p>
      <w:pPr>
        <w:spacing w:line="400" w:lineRule="exact"/>
        <w:ind w:firstLine="701" w:firstLineChars="334"/>
        <w:rPr>
          <w:rFonts w:ascii="华文中宋" w:hAnsi="华文中宋" w:eastAsia="华文中宋"/>
          <w:kern w:val="0"/>
          <w:szCs w:val="21"/>
        </w:rPr>
      </w:pPr>
    </w:p>
    <w:p>
      <w:pPr>
        <w:widowControl/>
        <w:jc w:val="left"/>
        <w:rPr>
          <w:rFonts w:ascii="华文中宋" w:hAnsi="华文中宋" w:eastAsia="华文中宋"/>
          <w:b/>
          <w:bCs/>
          <w:kern w:val="0"/>
          <w:szCs w:val="21"/>
        </w:rPr>
      </w:pPr>
      <w:r>
        <w:rPr>
          <w:rFonts w:ascii="华文中宋" w:hAnsi="华文中宋" w:eastAsia="华文中宋"/>
          <w:b/>
          <w:bCs/>
          <w:kern w:val="0"/>
          <w:szCs w:val="21"/>
        </w:rPr>
        <w:br w:type="page"/>
      </w:r>
    </w:p>
    <w:p>
      <w:pPr>
        <w:rPr>
          <w:rFonts w:ascii="华文中宋" w:hAnsi="华文中宋" w:eastAsia="华文中宋"/>
          <w:b/>
          <w:bCs/>
          <w:kern w:val="0"/>
          <w:szCs w:val="21"/>
        </w:rPr>
      </w:pPr>
      <w:r>
        <w:rPr>
          <w:rFonts w:hint="eastAsia" w:ascii="华文中宋" w:hAnsi="华文中宋" w:eastAsia="华文中宋"/>
          <w:b/>
          <w:bCs/>
          <w:kern w:val="0"/>
          <w:szCs w:val="21"/>
        </w:rPr>
        <w:t>3、比选保证金</w:t>
      </w:r>
    </w:p>
    <w:p>
      <w:pPr>
        <w:rPr>
          <w:rFonts w:ascii="华文中宋" w:hAnsi="华文中宋" w:eastAsia="华文中宋"/>
          <w:b/>
          <w:bCs/>
          <w:kern w:val="0"/>
          <w:szCs w:val="21"/>
        </w:rPr>
      </w:pPr>
      <w:r>
        <w:rPr>
          <w:rFonts w:hint="eastAsia" w:ascii="华文中宋" w:hAnsi="华文中宋" w:eastAsia="华文中宋"/>
          <w:b/>
          <w:bCs/>
          <w:kern w:val="0"/>
          <w:szCs w:val="21"/>
        </w:rPr>
        <w:t>附比选保证金缴纳证明复印件</w:t>
      </w:r>
    </w:p>
    <w:p>
      <w:pPr>
        <w:widowControl/>
        <w:jc w:val="left"/>
        <w:rPr>
          <w:rFonts w:ascii="华文中宋" w:hAnsi="华文中宋" w:eastAsia="华文中宋"/>
          <w:szCs w:val="21"/>
        </w:rPr>
      </w:pPr>
    </w:p>
    <w:p>
      <w:pPr>
        <w:widowControl/>
        <w:jc w:val="left"/>
        <w:rPr>
          <w:rFonts w:ascii="华文中宋" w:hAnsi="华文中宋" w:eastAsia="华文中宋"/>
          <w:szCs w:val="21"/>
        </w:rPr>
      </w:pPr>
    </w:p>
    <w:p>
      <w:pPr>
        <w:widowControl/>
        <w:jc w:val="left"/>
        <w:rPr>
          <w:rFonts w:ascii="华文中宋" w:hAnsi="华文中宋" w:eastAsia="华文中宋"/>
          <w:szCs w:val="21"/>
        </w:rPr>
      </w:pPr>
    </w:p>
    <w:p>
      <w:pPr>
        <w:widowControl/>
        <w:jc w:val="left"/>
        <w:rPr>
          <w:rFonts w:ascii="华文中宋" w:hAnsi="华文中宋" w:eastAsia="华文中宋"/>
          <w:szCs w:val="21"/>
        </w:rPr>
      </w:pPr>
    </w:p>
    <w:p>
      <w:pPr>
        <w:widowControl/>
        <w:jc w:val="left"/>
        <w:rPr>
          <w:rFonts w:ascii="华文中宋" w:hAnsi="华文中宋" w:eastAsia="华文中宋"/>
          <w:szCs w:val="21"/>
        </w:rPr>
      </w:pPr>
    </w:p>
    <w:p>
      <w:pPr>
        <w:widowControl/>
        <w:jc w:val="left"/>
        <w:rPr>
          <w:rFonts w:ascii="华文中宋" w:hAnsi="华文中宋" w:eastAsia="华文中宋"/>
          <w:szCs w:val="21"/>
        </w:rPr>
      </w:pPr>
    </w:p>
    <w:p>
      <w:pPr>
        <w:spacing w:line="400" w:lineRule="exact"/>
        <w:rPr>
          <w:rFonts w:ascii="华文中宋" w:hAnsi="华文中宋" w:eastAsia="华文中宋"/>
          <w:szCs w:val="21"/>
        </w:rPr>
      </w:pPr>
      <w:r>
        <w:rPr>
          <w:rFonts w:hint="eastAsia" w:ascii="华文中宋" w:hAnsi="华文中宋" w:eastAsia="华文中宋"/>
          <w:szCs w:val="21"/>
        </w:rPr>
        <w:t>4、</w:t>
      </w:r>
      <w:r>
        <w:rPr>
          <w:rFonts w:hint="eastAsia" w:ascii="华文中宋" w:hAnsi="华文中宋" w:eastAsia="华文中宋"/>
          <w:b/>
          <w:bCs/>
          <w:kern w:val="0"/>
          <w:szCs w:val="21"/>
        </w:rPr>
        <w:t>其他资料</w:t>
      </w:r>
    </w:p>
    <w:p>
      <w:pPr>
        <w:spacing w:line="400" w:lineRule="exact"/>
        <w:rPr>
          <w:rFonts w:ascii="华文中宋" w:hAnsi="华文中宋" w:eastAsia="华文中宋"/>
          <w:szCs w:val="21"/>
        </w:rPr>
      </w:pPr>
      <w:r>
        <w:rPr>
          <w:rFonts w:hint="eastAsia" w:ascii="华文中宋" w:hAnsi="华文中宋" w:eastAsia="华文中宋"/>
          <w:szCs w:val="21"/>
        </w:rPr>
        <w:t>（该部分资料由参选人根据资格审查要求、</w:t>
      </w:r>
      <w:r>
        <w:rPr>
          <w:rFonts w:hint="eastAsia" w:ascii="华文中宋" w:hAnsi="华文中宋" w:eastAsia="华文中宋" w:cs="宋体"/>
          <w:bCs/>
          <w:kern w:val="0"/>
          <w:sz w:val="22"/>
        </w:rPr>
        <w:t>技术要求、业绩要求等内容，自行编制，格式自拟，并附相应证明资料</w:t>
      </w:r>
      <w:r>
        <w:rPr>
          <w:rFonts w:hint="eastAsia" w:ascii="华文中宋" w:hAnsi="华文中宋" w:eastAsia="华文中宋"/>
          <w:szCs w:val="21"/>
        </w:rPr>
        <w:t>）</w:t>
      </w:r>
    </w:p>
    <w:p>
      <w:pPr>
        <w:rPr>
          <w:rFonts w:ascii="华文中宋" w:hAnsi="华文中宋" w:eastAsia="华文中宋"/>
          <w:b/>
          <w:bCs/>
          <w:kern w:val="0"/>
          <w:szCs w:val="21"/>
        </w:rPr>
      </w:pPr>
    </w:p>
    <w:p>
      <w:pPr>
        <w:rPr>
          <w:rFonts w:ascii="华文中宋" w:hAnsi="华文中宋" w:eastAsia="华文中宋"/>
          <w:b/>
          <w:bCs/>
          <w:kern w:val="0"/>
          <w:szCs w:val="21"/>
        </w:rPr>
      </w:pPr>
    </w:p>
    <w:p>
      <w:pPr>
        <w:rPr>
          <w:rFonts w:ascii="华文中宋" w:hAnsi="华文中宋" w:eastAsia="华文中宋"/>
          <w:b/>
          <w:bCs/>
          <w:kern w:val="0"/>
          <w:szCs w:val="21"/>
        </w:rPr>
      </w:pPr>
    </w:p>
    <w:bookmarkEnd w:id="2"/>
    <w:p>
      <w:pPr>
        <w:ind w:left="700" w:hanging="700" w:hangingChars="350"/>
        <w:rPr>
          <w:rFonts w:ascii="华文中宋" w:hAnsi="华文中宋" w:eastAsia="华文中宋" w:cs="宋体"/>
          <w:kern w:val="0"/>
          <w:sz w:val="20"/>
          <w:szCs w:val="18"/>
        </w:rPr>
      </w:pPr>
      <w:r>
        <w:rPr>
          <w:rFonts w:hint="eastAsia" w:ascii="华文中宋" w:hAnsi="华文中宋" w:eastAsia="华文中宋" w:cs="宋体"/>
          <w:kern w:val="0"/>
          <w:sz w:val="20"/>
          <w:szCs w:val="18"/>
        </w:rPr>
        <w:t>注：1、类似项目的业务需提供相应证明材料。</w:t>
      </w:r>
    </w:p>
    <w:p>
      <w:pPr>
        <w:ind w:left="701" w:leftChars="191" w:hanging="300" w:hangingChars="150"/>
        <w:rPr>
          <w:rFonts w:ascii="华文中宋" w:hAnsi="华文中宋" w:eastAsia="华文中宋" w:cs="宋体"/>
          <w:kern w:val="0"/>
          <w:sz w:val="20"/>
          <w:szCs w:val="18"/>
        </w:rPr>
      </w:pPr>
      <w:r>
        <w:rPr>
          <w:rFonts w:hint="eastAsia" w:ascii="华文中宋" w:hAnsi="华文中宋" w:eastAsia="华文中宋" w:cs="宋体"/>
          <w:kern w:val="0"/>
          <w:sz w:val="20"/>
          <w:szCs w:val="18"/>
        </w:rPr>
        <w:t>2、参选人可自行补充对其比选有利的其他资料</w:t>
      </w:r>
    </w:p>
    <w:p>
      <w:pPr>
        <w:spacing w:line="300" w:lineRule="auto"/>
        <w:rPr>
          <w:rFonts w:ascii="华文中宋" w:hAnsi="华文中宋" w:eastAsia="华文中宋"/>
        </w:rPr>
      </w:pPr>
    </w:p>
    <w:p>
      <w:pPr>
        <w:spacing w:line="300" w:lineRule="auto"/>
        <w:rPr>
          <w:rFonts w:ascii="华文中宋" w:hAnsi="华文中宋" w:eastAsia="华文中宋"/>
        </w:rPr>
      </w:pPr>
    </w:p>
    <w:p>
      <w:pPr>
        <w:spacing w:line="300" w:lineRule="auto"/>
        <w:rPr>
          <w:rFonts w:ascii="华文中宋" w:hAnsi="华文中宋" w:eastAsia="华文中宋"/>
        </w:rPr>
      </w:pPr>
    </w:p>
    <w:p>
      <w:pPr>
        <w:spacing w:line="300" w:lineRule="auto"/>
        <w:rPr>
          <w:rFonts w:ascii="华文中宋" w:hAnsi="华文中宋" w:eastAsia="华文中宋"/>
        </w:rPr>
      </w:pPr>
    </w:p>
    <w:p>
      <w:pPr>
        <w:spacing w:line="300" w:lineRule="auto"/>
        <w:rPr>
          <w:rFonts w:ascii="华文中宋" w:hAnsi="华文中宋" w:eastAsia="华文中宋"/>
        </w:rPr>
      </w:pPr>
    </w:p>
    <w:p>
      <w:pPr>
        <w:spacing w:line="300" w:lineRule="auto"/>
        <w:rPr>
          <w:rFonts w:ascii="华文中宋" w:hAnsi="华文中宋" w:eastAsia="华文中宋"/>
        </w:rPr>
      </w:pPr>
    </w:p>
    <w:p>
      <w:pPr>
        <w:spacing w:line="300" w:lineRule="auto"/>
        <w:rPr>
          <w:rFonts w:ascii="华文中宋" w:hAnsi="华文中宋" w:eastAsia="华文中宋"/>
        </w:rPr>
      </w:pPr>
    </w:p>
    <w:p>
      <w:pPr>
        <w:spacing w:line="300" w:lineRule="auto"/>
        <w:rPr>
          <w:rFonts w:ascii="华文中宋" w:hAnsi="华文中宋" w:eastAsia="华文中宋"/>
          <w:sz w:val="20"/>
          <w:szCs w:val="18"/>
        </w:rPr>
      </w:pPr>
    </w:p>
    <w:p>
      <w:pPr>
        <w:widowControl/>
        <w:jc w:val="left"/>
        <w:rPr>
          <w:rFonts w:ascii="华文中宋" w:hAnsi="华文中宋" w:eastAsia="华文中宋" w:cs="黑体"/>
          <w:b/>
          <w:bCs/>
          <w:szCs w:val="21"/>
        </w:rPr>
      </w:pPr>
      <w:r>
        <w:rPr>
          <w:rFonts w:ascii="华文中宋" w:hAnsi="华文中宋" w:eastAsia="华文中宋" w:cs="黑体"/>
          <w:b/>
          <w:bCs/>
          <w:szCs w:val="21"/>
        </w:rPr>
        <w:br w:type="page"/>
      </w:r>
    </w:p>
    <w:p>
      <w:pPr>
        <w:spacing w:line="300" w:lineRule="auto"/>
        <w:rPr>
          <w:rFonts w:ascii="宋体" w:hAnsi="宋体" w:cs="宋体"/>
          <w:b/>
          <w:bCs/>
          <w:kern w:val="0"/>
          <w:sz w:val="28"/>
          <w:szCs w:val="28"/>
        </w:rPr>
      </w:pPr>
      <w:r>
        <w:rPr>
          <w:rFonts w:hint="eastAsia" w:ascii="宋体" w:hAnsi="宋体" w:cs="宋体"/>
          <w:b/>
          <w:sz w:val="28"/>
          <w:szCs w:val="28"/>
        </w:rPr>
        <w:t xml:space="preserve">附件：             </w:t>
      </w:r>
    </w:p>
    <w:tbl>
      <w:tblPr>
        <w:tblStyle w:val="21"/>
        <w:tblW w:w="9513" w:type="dxa"/>
        <w:tblInd w:w="93" w:type="dxa"/>
        <w:tblLayout w:type="fixed"/>
        <w:tblCellMar>
          <w:top w:w="0" w:type="dxa"/>
          <w:left w:w="108" w:type="dxa"/>
          <w:bottom w:w="0" w:type="dxa"/>
          <w:right w:w="108" w:type="dxa"/>
        </w:tblCellMar>
      </w:tblPr>
      <w:tblGrid>
        <w:gridCol w:w="866"/>
        <w:gridCol w:w="1417"/>
        <w:gridCol w:w="5387"/>
        <w:gridCol w:w="709"/>
        <w:gridCol w:w="708"/>
        <w:gridCol w:w="426"/>
      </w:tblGrid>
      <w:tr>
        <w:tblPrEx>
          <w:tblLayout w:type="fixed"/>
          <w:tblCellMar>
            <w:top w:w="0" w:type="dxa"/>
            <w:left w:w="108" w:type="dxa"/>
            <w:bottom w:w="0" w:type="dxa"/>
            <w:right w:w="108" w:type="dxa"/>
          </w:tblCellMar>
        </w:tblPrEx>
        <w:trPr>
          <w:trHeight w:val="540" w:hRule="atLeast"/>
        </w:trPr>
        <w:tc>
          <w:tcPr>
            <w:tcW w:w="9513" w:type="dxa"/>
            <w:gridSpan w:val="6"/>
            <w:tcBorders>
              <w:top w:val="nil"/>
              <w:left w:val="single" w:color="auto" w:sz="4" w:space="0"/>
              <w:bottom w:val="nil"/>
              <w:right w:val="single" w:color="000000" w:sz="4" w:space="0"/>
            </w:tcBorders>
            <w:shd w:val="clear" w:color="000000" w:fill="C5D9F1"/>
            <w:vAlign w:val="center"/>
          </w:tcPr>
          <w:p>
            <w:pPr>
              <w:widowControl/>
              <w:jc w:val="center"/>
              <w:rPr>
                <w:rFonts w:ascii="宋体" w:hAnsi="宋体" w:cs="宋体"/>
                <w:b/>
                <w:bCs/>
                <w:kern w:val="0"/>
                <w:sz w:val="28"/>
                <w:szCs w:val="28"/>
              </w:rPr>
            </w:pPr>
            <w:r>
              <w:rPr>
                <w:rFonts w:hint="eastAsia" w:ascii="宋体" w:hAnsi="宋体" w:cs="宋体"/>
                <w:b/>
                <w:bCs/>
                <w:kern w:val="0"/>
                <w:sz w:val="28"/>
                <w:szCs w:val="28"/>
              </w:rPr>
              <w:t>高清视频会议系统技术规格书</w:t>
            </w:r>
          </w:p>
        </w:tc>
      </w:tr>
      <w:tr>
        <w:tblPrEx>
          <w:tblLayout w:type="fixed"/>
          <w:tblCellMar>
            <w:top w:w="0" w:type="dxa"/>
            <w:left w:w="108" w:type="dxa"/>
            <w:bottom w:w="0" w:type="dxa"/>
            <w:right w:w="108" w:type="dxa"/>
          </w:tblCellMar>
        </w:tblPrEx>
        <w:trPr>
          <w:trHeight w:val="270" w:hRule="atLeast"/>
        </w:trPr>
        <w:tc>
          <w:tcPr>
            <w:tcW w:w="86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141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设备名称</w:t>
            </w:r>
          </w:p>
        </w:tc>
        <w:tc>
          <w:tcPr>
            <w:tcW w:w="538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设备描述</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单位</w:t>
            </w: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数量</w:t>
            </w: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备注</w:t>
            </w:r>
          </w:p>
        </w:tc>
      </w:tr>
      <w:tr>
        <w:tblPrEx>
          <w:tblLayout w:type="fixed"/>
          <w:tblCellMar>
            <w:top w:w="0" w:type="dxa"/>
            <w:left w:w="108" w:type="dxa"/>
            <w:bottom w:w="0" w:type="dxa"/>
            <w:right w:w="108" w:type="dxa"/>
          </w:tblCellMar>
        </w:tblPrEx>
        <w:trPr>
          <w:trHeight w:val="270" w:hRule="atLeast"/>
        </w:trPr>
        <w:tc>
          <w:tcPr>
            <w:tcW w:w="2283" w:type="dxa"/>
            <w:gridSpan w:val="2"/>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视频会议系统</w:t>
            </w:r>
          </w:p>
        </w:tc>
        <w:tc>
          <w:tcPr>
            <w:tcW w:w="5387" w:type="dxa"/>
            <w:tcBorders>
              <w:top w:val="nil"/>
              <w:left w:val="nil"/>
              <w:bottom w:val="single" w:color="auto" w:sz="4" w:space="0"/>
              <w:right w:val="single" w:color="auto" w:sz="4" w:space="0"/>
            </w:tcBorders>
            <w:shd w:val="clear" w:color="auto" w:fill="auto"/>
            <w:vAlign w:val="center"/>
          </w:tcPr>
          <w:p>
            <w:pPr>
              <w:widowControl/>
              <w:numPr>
                <w:ilvl w:val="0"/>
                <w:numId w:val="2"/>
              </w:numPr>
              <w:jc w:val="left"/>
              <w:rPr>
                <w:rFonts w:ascii="宋体" w:hAnsi="宋体" w:cs="宋体"/>
                <w:color w:val="000000"/>
                <w:kern w:val="0"/>
                <w:sz w:val="20"/>
                <w:szCs w:val="20"/>
              </w:rPr>
            </w:pPr>
            <w:r>
              <w:rPr>
                <w:rFonts w:hint="eastAsia" w:ascii="宋体" w:hAnsi="宋体" w:cs="宋体"/>
                <w:kern w:val="0"/>
                <w:szCs w:val="21"/>
              </w:rPr>
              <w:t>※</w:t>
            </w:r>
            <w:r>
              <w:rPr>
                <w:rFonts w:hint="eastAsia" w:ascii="宋体" w:hAnsi="宋体" w:cs="宋体"/>
                <w:color w:val="000000"/>
                <w:kern w:val="0"/>
                <w:sz w:val="20"/>
                <w:szCs w:val="20"/>
              </w:rPr>
              <w:t>本次提供的视频会议系统产品必须与华为、宝利通视频会议系统融合，</w:t>
            </w:r>
            <w:r>
              <w:rPr>
                <w:rFonts w:hint="eastAsia" w:ascii="宋体" w:hAnsi="宋体" w:cs="宋体"/>
                <w:color w:val="FF0000"/>
                <w:kern w:val="0"/>
                <w:sz w:val="20"/>
                <w:szCs w:val="20"/>
              </w:rPr>
              <w:t>须提供至少1个融合案例；</w:t>
            </w:r>
          </w:p>
          <w:p>
            <w:pPr>
              <w:widowControl/>
              <w:numPr>
                <w:ilvl w:val="0"/>
                <w:numId w:val="2"/>
              </w:numPr>
              <w:jc w:val="left"/>
              <w:rPr>
                <w:rFonts w:ascii="宋体" w:hAnsi="宋体" w:cs="宋体"/>
                <w:color w:val="000000"/>
                <w:kern w:val="0"/>
                <w:sz w:val="20"/>
                <w:szCs w:val="20"/>
              </w:rPr>
            </w:pPr>
            <w:r>
              <w:rPr>
                <w:rFonts w:hint="eastAsia" w:ascii="宋体" w:hAnsi="宋体" w:cs="宋体"/>
                <w:kern w:val="0"/>
                <w:szCs w:val="21"/>
              </w:rPr>
              <w:t>※</w:t>
            </w:r>
            <w:r>
              <w:rPr>
                <w:rFonts w:hint="eastAsia" w:ascii="宋体" w:hAnsi="宋体" w:cs="宋体"/>
                <w:color w:val="000000"/>
                <w:kern w:val="0"/>
                <w:sz w:val="20"/>
                <w:szCs w:val="20"/>
              </w:rPr>
              <w:t>本次提供的视频会议系统产品须支持至少16个以上现有视频会议终端设备接入。</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b/>
                <w:bCs/>
                <w:kern w:val="0"/>
                <w:sz w:val="20"/>
                <w:szCs w:val="20"/>
              </w:rPr>
            </w:pP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b/>
                <w:bCs/>
                <w:kern w:val="0"/>
                <w:sz w:val="20"/>
                <w:szCs w:val="20"/>
              </w:rPr>
            </w:pP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b/>
                <w:bCs/>
                <w:kern w:val="0"/>
                <w:sz w:val="20"/>
                <w:szCs w:val="20"/>
              </w:rPr>
            </w:pPr>
          </w:p>
        </w:tc>
      </w:tr>
      <w:tr>
        <w:tblPrEx>
          <w:tblLayout w:type="fixed"/>
          <w:tblCellMar>
            <w:top w:w="0" w:type="dxa"/>
            <w:left w:w="108" w:type="dxa"/>
            <w:bottom w:w="0" w:type="dxa"/>
            <w:right w:w="108" w:type="dxa"/>
          </w:tblCellMar>
        </w:tblPrEx>
        <w:trPr>
          <w:trHeight w:val="5235" w:hRule="atLeast"/>
        </w:trPr>
        <w:tc>
          <w:tcPr>
            <w:tcW w:w="86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 xml:space="preserve">主机房 </w:t>
            </w:r>
          </w:p>
        </w:tc>
        <w:tc>
          <w:tcPr>
            <w:tcW w:w="141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高清MCU</w:t>
            </w:r>
          </w:p>
        </w:tc>
        <w:tc>
          <w:tcPr>
            <w:tcW w:w="53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 采用VxWorks嵌入式操作系统，须提供第三方权威机构检测报告证明。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w:t>
            </w:r>
            <w:r>
              <w:rPr>
                <w:rFonts w:hint="eastAsia" w:ascii="宋体" w:hAnsi="宋体" w:cs="宋体"/>
                <w:kern w:val="0"/>
                <w:szCs w:val="21"/>
              </w:rPr>
              <w:t>※</w:t>
            </w:r>
            <w:r>
              <w:rPr>
                <w:rFonts w:hint="eastAsia" w:ascii="宋体" w:hAnsi="宋体" w:cs="宋体"/>
                <w:color w:val="000000"/>
                <w:kern w:val="0"/>
                <w:sz w:val="20"/>
                <w:szCs w:val="20"/>
              </w:rPr>
              <w:t>支持ITU-T H.323、IETF SIP协议，具备良好的兼容性。</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3、呼叫带宽支持64Kbps-8Mbps。</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w:t>
            </w:r>
            <w:r>
              <w:rPr>
                <w:rFonts w:hint="eastAsia" w:ascii="宋体" w:hAnsi="宋体" w:cs="宋体"/>
                <w:kern w:val="0"/>
                <w:szCs w:val="21"/>
              </w:rPr>
              <w:t>※</w:t>
            </w:r>
            <w:r>
              <w:rPr>
                <w:rFonts w:hint="eastAsia" w:ascii="宋体" w:hAnsi="宋体" w:cs="宋体"/>
                <w:color w:val="000000"/>
                <w:kern w:val="0"/>
                <w:sz w:val="20"/>
                <w:szCs w:val="20"/>
              </w:rPr>
              <w:t>本次项目所MCU配置不少于30路1080P30全编全解视频端口，即满足项目中所有硬件终端与软件终端入会，后期在有需要时单台MCU可扩容到不少于70个1080P30全编全解端口。</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5、</w:t>
            </w:r>
            <w:r>
              <w:rPr>
                <w:rFonts w:hint="eastAsia" w:ascii="宋体" w:hAnsi="宋体" w:cs="宋体"/>
                <w:kern w:val="0"/>
                <w:szCs w:val="21"/>
              </w:rPr>
              <w:t>※</w:t>
            </w:r>
            <w:r>
              <w:rPr>
                <w:rFonts w:hint="eastAsia" w:ascii="宋体" w:hAnsi="宋体" w:cs="宋体"/>
                <w:kern w:val="0"/>
                <w:sz w:val="20"/>
                <w:szCs w:val="20"/>
              </w:rPr>
              <w:t>支持ITU-T H.265、H.264 HP、H.264 SVC视频协议；须提供第三方权威机构检测报告证明。</w:t>
            </w:r>
            <w:r>
              <w:rPr>
                <w:rFonts w:hint="eastAsia" w:ascii="宋体" w:hAnsi="宋体" w:cs="宋体"/>
                <w:kern w:val="0"/>
                <w:sz w:val="20"/>
                <w:szCs w:val="20"/>
              </w:rPr>
              <w:br w:type="textWrapping"/>
            </w:r>
            <w:r>
              <w:rPr>
                <w:rFonts w:hint="eastAsia" w:ascii="宋体" w:hAnsi="宋体" w:cs="宋体"/>
                <w:kern w:val="0"/>
                <w:sz w:val="20"/>
                <w:szCs w:val="20"/>
              </w:rPr>
              <w:t>6、</w:t>
            </w:r>
            <w:r>
              <w:rPr>
                <w:rFonts w:hint="eastAsia" w:ascii="宋体" w:hAnsi="宋体" w:cs="宋体"/>
                <w:kern w:val="0"/>
                <w:szCs w:val="21"/>
              </w:rPr>
              <w:t>※</w:t>
            </w:r>
            <w:r>
              <w:rPr>
                <w:rFonts w:hint="eastAsia" w:ascii="宋体" w:hAnsi="宋体" w:cs="宋体"/>
                <w:kern w:val="0"/>
                <w:sz w:val="20"/>
                <w:szCs w:val="20"/>
              </w:rPr>
              <w:t>支持G.711、G.722.1、G.722.1C、G.729、iLBC音频协议；须提供第三方权威机构检测报告证明。</w:t>
            </w:r>
            <w:r>
              <w:rPr>
                <w:rFonts w:hint="eastAsia" w:ascii="宋体" w:hAnsi="宋体" w:cs="宋体"/>
                <w:kern w:val="0"/>
                <w:sz w:val="20"/>
                <w:szCs w:val="20"/>
              </w:rPr>
              <w:br w:type="textWrapping"/>
            </w:r>
            <w:r>
              <w:rPr>
                <w:rFonts w:hint="eastAsia" w:ascii="宋体" w:hAnsi="宋体" w:cs="宋体"/>
                <w:kern w:val="0"/>
                <w:sz w:val="20"/>
                <w:szCs w:val="20"/>
              </w:rPr>
              <w:t>7、</w:t>
            </w:r>
            <w:r>
              <w:rPr>
                <w:rFonts w:hint="eastAsia" w:ascii="宋体" w:hAnsi="宋体" w:cs="宋体"/>
                <w:kern w:val="0"/>
                <w:szCs w:val="21"/>
              </w:rPr>
              <w:t>※</w:t>
            </w:r>
            <w:r>
              <w:rPr>
                <w:rFonts w:hint="eastAsia" w:ascii="宋体" w:hAnsi="宋体" w:cs="宋体"/>
                <w:kern w:val="0"/>
                <w:sz w:val="20"/>
                <w:szCs w:val="20"/>
              </w:rPr>
              <w:t xml:space="preserve">支持ITU-T H.239、BFCP双流协议；支持主视频1080p60fps时，辅视频同时实现1080P60fps高清效果。 </w:t>
            </w:r>
            <w:r>
              <w:rPr>
                <w:rFonts w:hint="eastAsia" w:ascii="宋体" w:hAnsi="宋体" w:cs="宋体"/>
                <w:kern w:val="0"/>
                <w:sz w:val="20"/>
                <w:szCs w:val="20"/>
              </w:rPr>
              <w:br w:type="textWrapping"/>
            </w:r>
            <w:r>
              <w:rPr>
                <w:rFonts w:hint="eastAsia" w:ascii="宋体" w:hAnsi="宋体" w:cs="宋体"/>
                <w:kern w:val="0"/>
                <w:sz w:val="20"/>
                <w:szCs w:val="20"/>
              </w:rPr>
              <w:t>8、</w:t>
            </w:r>
            <w:r>
              <w:rPr>
                <w:rFonts w:hint="eastAsia" w:ascii="宋体" w:hAnsi="宋体" w:cs="宋体"/>
                <w:kern w:val="0"/>
                <w:szCs w:val="21"/>
              </w:rPr>
              <w:t>※</w:t>
            </w:r>
            <w:r>
              <w:rPr>
                <w:rFonts w:hint="eastAsia" w:ascii="宋体" w:hAnsi="宋体" w:cs="宋体"/>
                <w:kern w:val="0"/>
                <w:sz w:val="20"/>
                <w:szCs w:val="20"/>
              </w:rPr>
              <w:t>支持MCU内置录播功能，最大不少于20个1080P60会议同时录制；最大支持不少于4个1080P60会议直播能力；须提供第三方权威机构检测报告证明。</w:t>
            </w:r>
            <w:r>
              <w:rPr>
                <w:rFonts w:hint="eastAsia" w:ascii="宋体" w:hAnsi="宋体" w:cs="宋体"/>
                <w:kern w:val="0"/>
                <w:sz w:val="20"/>
                <w:szCs w:val="20"/>
              </w:rPr>
              <w:br w:type="textWrapping"/>
            </w:r>
            <w:r>
              <w:rPr>
                <w:rFonts w:hint="eastAsia" w:ascii="宋体" w:hAnsi="宋体" w:cs="宋体"/>
                <w:kern w:val="0"/>
                <w:sz w:val="20"/>
                <w:szCs w:val="20"/>
              </w:rPr>
              <w:t>8、</w:t>
            </w:r>
            <w:r>
              <w:rPr>
                <w:rFonts w:hint="eastAsia" w:ascii="宋体" w:hAnsi="宋体" w:cs="宋体"/>
                <w:kern w:val="0"/>
                <w:szCs w:val="21"/>
              </w:rPr>
              <w:t>※</w:t>
            </w:r>
            <w:r>
              <w:rPr>
                <w:rFonts w:hint="eastAsia" w:ascii="宋体" w:hAnsi="宋体" w:cs="宋体"/>
                <w:kern w:val="0"/>
                <w:sz w:val="20"/>
                <w:szCs w:val="20"/>
              </w:rPr>
              <w:t>支持每个会场24画面分屏，具有多种多画面模式切换等。</w:t>
            </w:r>
            <w:r>
              <w:rPr>
                <w:rFonts w:hint="eastAsia" w:ascii="宋体" w:hAnsi="宋体" w:cs="宋体"/>
                <w:kern w:val="0"/>
                <w:sz w:val="20"/>
                <w:szCs w:val="20"/>
              </w:rPr>
              <w:br w:type="textWrapping"/>
            </w:r>
            <w:r>
              <w:rPr>
                <w:rFonts w:hint="eastAsia" w:ascii="宋体" w:hAnsi="宋体" w:cs="宋体"/>
                <w:kern w:val="0"/>
                <w:sz w:val="20"/>
                <w:szCs w:val="20"/>
              </w:rPr>
              <w:t>9、</w:t>
            </w:r>
            <w:r>
              <w:rPr>
                <w:rFonts w:hint="eastAsia" w:ascii="宋体" w:hAnsi="宋体" w:cs="宋体"/>
                <w:kern w:val="0"/>
                <w:szCs w:val="21"/>
              </w:rPr>
              <w:t>※</w:t>
            </w:r>
            <w:r>
              <w:rPr>
                <w:rFonts w:hint="eastAsia" w:ascii="宋体" w:hAnsi="宋体" w:cs="宋体"/>
                <w:kern w:val="0"/>
                <w:sz w:val="20"/>
                <w:szCs w:val="20"/>
              </w:rPr>
              <w:t xml:space="preserve">支持多台MCU组成资源池，实现MCU资源统一管理，根据MCU资源使用情况,动态分配MCU资源，以实现MCU资源负载均衡。 </w:t>
            </w:r>
            <w:r>
              <w:rPr>
                <w:rFonts w:hint="eastAsia" w:ascii="宋体" w:hAnsi="宋体" w:cs="宋体"/>
                <w:kern w:val="0"/>
                <w:sz w:val="20"/>
                <w:szCs w:val="20"/>
              </w:rPr>
              <w:br w:type="textWrapping"/>
            </w:r>
            <w:r>
              <w:rPr>
                <w:rFonts w:hint="eastAsia" w:ascii="宋体" w:hAnsi="宋体" w:cs="宋体"/>
                <w:kern w:val="0"/>
                <w:sz w:val="20"/>
                <w:szCs w:val="20"/>
              </w:rPr>
              <w:t>10、</w:t>
            </w:r>
            <w:r>
              <w:rPr>
                <w:rFonts w:hint="eastAsia" w:ascii="宋体" w:hAnsi="宋体" w:cs="宋体"/>
                <w:kern w:val="0"/>
                <w:szCs w:val="21"/>
              </w:rPr>
              <w:t>※</w:t>
            </w:r>
            <w:r>
              <w:rPr>
                <w:rFonts w:hint="eastAsia" w:ascii="宋体" w:hAnsi="宋体" w:cs="宋体"/>
                <w:kern w:val="0"/>
                <w:sz w:val="20"/>
                <w:szCs w:val="20"/>
              </w:rPr>
              <w:t>要求电源与芯片支持备份功能，以保障系统稳定性，须提供第三方权威机构检测报告证明。</w:t>
            </w:r>
            <w:r>
              <w:rPr>
                <w:rFonts w:hint="eastAsia" w:ascii="宋体" w:hAnsi="宋体" w:cs="宋体"/>
                <w:kern w:val="0"/>
                <w:sz w:val="20"/>
                <w:szCs w:val="20"/>
              </w:rPr>
              <w:br w:type="textWrapping"/>
            </w:r>
            <w:r>
              <w:rPr>
                <w:rFonts w:hint="eastAsia" w:ascii="宋体" w:hAnsi="宋体" w:cs="宋体"/>
                <w:kern w:val="0"/>
                <w:sz w:val="20"/>
                <w:szCs w:val="20"/>
              </w:rPr>
              <w:t>11、</w:t>
            </w:r>
            <w:r>
              <w:rPr>
                <w:rFonts w:hint="eastAsia" w:ascii="宋体" w:hAnsi="宋体" w:cs="宋体"/>
                <w:kern w:val="0"/>
                <w:szCs w:val="21"/>
              </w:rPr>
              <w:t>※</w:t>
            </w:r>
            <w:r>
              <w:rPr>
                <w:rFonts w:hint="eastAsia" w:ascii="宋体" w:hAnsi="宋体" w:cs="宋体"/>
                <w:kern w:val="0"/>
                <w:sz w:val="20"/>
                <w:szCs w:val="20"/>
              </w:rPr>
              <w:t>可同时支持光口备份、电口备份、光电口备份；须提供第三方权威机构检测报告证明。</w:t>
            </w:r>
            <w:r>
              <w:rPr>
                <w:rFonts w:hint="eastAsia" w:ascii="宋体" w:hAnsi="宋体" w:cs="宋体"/>
                <w:kern w:val="0"/>
                <w:sz w:val="20"/>
                <w:szCs w:val="20"/>
              </w:rPr>
              <w:br w:type="textWrapping"/>
            </w:r>
            <w:r>
              <w:rPr>
                <w:rFonts w:hint="eastAsia" w:ascii="宋体" w:hAnsi="宋体" w:cs="宋体"/>
                <w:color w:val="000000"/>
                <w:kern w:val="0"/>
                <w:sz w:val="20"/>
                <w:szCs w:val="20"/>
              </w:rPr>
              <w:t>12、</w:t>
            </w:r>
            <w:r>
              <w:rPr>
                <w:rFonts w:hint="eastAsia" w:ascii="宋体" w:hAnsi="宋体" w:cs="宋体"/>
                <w:kern w:val="0"/>
                <w:szCs w:val="21"/>
              </w:rPr>
              <w:t>※</w:t>
            </w:r>
            <w:r>
              <w:rPr>
                <w:rFonts w:hint="eastAsia" w:ascii="宋体" w:hAnsi="宋体" w:cs="宋体"/>
                <w:color w:val="000000"/>
                <w:kern w:val="0"/>
                <w:sz w:val="20"/>
                <w:szCs w:val="20"/>
              </w:rPr>
              <w:t>支持SIP(TLS/SRTP)信令和媒体流加密、AES加密算法、H.235媒体流加密、H.235认证和信令完整性校验；须提供第三方权威机构检测报告证明。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13、支持不少于5级单、多通道级联技术。</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14、</w:t>
            </w:r>
            <w:r>
              <w:rPr>
                <w:rFonts w:hint="eastAsia" w:ascii="宋体" w:hAnsi="宋体" w:cs="宋体"/>
                <w:kern w:val="0"/>
                <w:szCs w:val="21"/>
              </w:rPr>
              <w:t>※</w:t>
            </w:r>
            <w:r>
              <w:rPr>
                <w:rFonts w:hint="eastAsia" w:ascii="宋体" w:hAnsi="宋体" w:cs="宋体"/>
                <w:color w:val="000000"/>
                <w:kern w:val="0"/>
                <w:sz w:val="20"/>
                <w:szCs w:val="20"/>
              </w:rPr>
              <w:t>具备较强的抗丢包能力：20%丢包下，语音较清晰连续，视频清晰流畅，无卡顿。</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15、</w:t>
            </w:r>
            <w:r>
              <w:rPr>
                <w:rFonts w:hint="eastAsia" w:ascii="宋体" w:hAnsi="宋体" w:cs="宋体"/>
                <w:kern w:val="0"/>
                <w:szCs w:val="21"/>
              </w:rPr>
              <w:t>※</w:t>
            </w:r>
            <w:r>
              <w:rPr>
                <w:rFonts w:hint="eastAsia" w:ascii="宋体" w:hAnsi="宋体" w:cs="宋体"/>
                <w:color w:val="000000"/>
                <w:kern w:val="0"/>
                <w:sz w:val="20"/>
                <w:szCs w:val="20"/>
              </w:rPr>
              <w:t>为降低网络带宽支出，以1Mbps带宽实现1080P60fps会议效果；以512Kbps带宽实现1080P30fps会议效果；以384Kbps带宽实现720P30fps会议效果。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16、</w:t>
            </w:r>
            <w:r>
              <w:rPr>
                <w:rFonts w:hint="eastAsia" w:ascii="宋体" w:hAnsi="宋体" w:cs="宋体"/>
                <w:kern w:val="0"/>
                <w:szCs w:val="21"/>
              </w:rPr>
              <w:t>※</w:t>
            </w:r>
            <w:r>
              <w:rPr>
                <w:rFonts w:hint="eastAsia" w:ascii="宋体" w:hAnsi="宋体" w:cs="宋体"/>
                <w:kern w:val="0"/>
                <w:sz w:val="20"/>
                <w:szCs w:val="20"/>
              </w:rPr>
              <w:t>支持通过短消息向终端发出被广播、点名、入会、离会时的文字提示；须提供第三方权威机构检测报告证明。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18、</w:t>
            </w:r>
            <w:r>
              <w:rPr>
                <w:rFonts w:hint="eastAsia" w:ascii="宋体" w:hAnsi="宋体" w:cs="宋体"/>
                <w:kern w:val="0"/>
                <w:szCs w:val="21"/>
              </w:rPr>
              <w:t>※</w:t>
            </w:r>
            <w:r>
              <w:rPr>
                <w:rFonts w:hint="eastAsia" w:ascii="宋体" w:hAnsi="宋体" w:cs="宋体"/>
                <w:color w:val="000000"/>
                <w:kern w:val="0"/>
                <w:sz w:val="20"/>
                <w:szCs w:val="20"/>
              </w:rPr>
              <w:t>支持IPV4和IPV6协议栈；须提供第三方权威机构检测报告证明。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19、</w:t>
            </w:r>
            <w:r>
              <w:rPr>
                <w:rFonts w:hint="eastAsia" w:ascii="宋体" w:hAnsi="宋体" w:cs="宋体"/>
                <w:kern w:val="0"/>
                <w:szCs w:val="21"/>
              </w:rPr>
              <w:t>※</w:t>
            </w:r>
            <w:r>
              <w:rPr>
                <w:rFonts w:hint="eastAsia" w:ascii="宋体" w:hAnsi="宋体" w:cs="宋体"/>
                <w:color w:val="000000"/>
                <w:kern w:val="0"/>
                <w:sz w:val="20"/>
                <w:szCs w:val="20"/>
              </w:rPr>
              <w:t>支持静态NAT、H460公私网穿越方式。</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20、</w:t>
            </w:r>
            <w:r>
              <w:rPr>
                <w:rFonts w:hint="eastAsia" w:ascii="宋体" w:hAnsi="宋体" w:cs="宋体"/>
                <w:kern w:val="0"/>
                <w:szCs w:val="21"/>
              </w:rPr>
              <w:t>※</w:t>
            </w:r>
            <w:r>
              <w:rPr>
                <w:rFonts w:hint="eastAsia" w:ascii="宋体" w:hAnsi="宋体" w:cs="宋体"/>
                <w:color w:val="000000"/>
                <w:kern w:val="0"/>
                <w:sz w:val="20"/>
                <w:szCs w:val="20"/>
              </w:rPr>
              <w:t>要求提供电信入网证、3C证书。</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 xml:space="preserve">1 </w:t>
            </w: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配置3年维保</w:t>
            </w:r>
          </w:p>
        </w:tc>
      </w:tr>
      <w:tr>
        <w:tblPrEx>
          <w:tblLayout w:type="fixed"/>
          <w:tblCellMar>
            <w:top w:w="0" w:type="dxa"/>
            <w:left w:w="108" w:type="dxa"/>
            <w:bottom w:w="0" w:type="dxa"/>
            <w:right w:w="108" w:type="dxa"/>
          </w:tblCellMar>
        </w:tblPrEx>
        <w:trPr>
          <w:trHeight w:val="540" w:hRule="atLeast"/>
        </w:trPr>
        <w:tc>
          <w:tcPr>
            <w:tcW w:w="86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会议管理平台</w:t>
            </w:r>
          </w:p>
        </w:tc>
        <w:tc>
          <w:tcPr>
            <w:tcW w:w="53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rFonts w:hint="eastAsia" w:ascii="宋体" w:hAnsi="宋体" w:cs="宋体"/>
                <w:kern w:val="0"/>
                <w:szCs w:val="21"/>
              </w:rPr>
              <w:t>※</w:t>
            </w:r>
            <w:r>
              <w:rPr>
                <w:rFonts w:hint="eastAsia" w:ascii="宋体" w:hAnsi="宋体" w:cs="宋体"/>
                <w:color w:val="000000"/>
                <w:kern w:val="0"/>
                <w:sz w:val="20"/>
                <w:szCs w:val="20"/>
              </w:rPr>
              <w:t>要求采用B/S构架，须提供第三方权威检测报告证明。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2、支持通过对用户账号的所属用户类型和所属组织来进行分级分权管理。</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w:t>
            </w:r>
            <w:r>
              <w:rPr>
                <w:rFonts w:hint="eastAsia" w:ascii="宋体" w:hAnsi="宋体" w:cs="宋体"/>
                <w:kern w:val="0"/>
                <w:szCs w:val="21"/>
              </w:rPr>
              <w:t>※</w:t>
            </w:r>
            <w:r>
              <w:rPr>
                <w:rFonts w:hint="eastAsia" w:ascii="宋体" w:hAnsi="宋体" w:cs="宋体"/>
                <w:color w:val="000000"/>
                <w:kern w:val="0"/>
                <w:sz w:val="20"/>
                <w:szCs w:val="20"/>
              </w:rPr>
              <w:t>支持最大设备管理数不少于9000个，最大注册数不少于1000路。</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4、支持呼叫控制、带宽管理、黑白名单、注册状态显示、路由管理、分区管理、号码变换、URL呼叫等功能。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5、</w:t>
            </w:r>
            <w:r>
              <w:rPr>
                <w:rFonts w:hint="eastAsia" w:ascii="宋体" w:hAnsi="宋体" w:cs="宋体"/>
                <w:kern w:val="0"/>
                <w:szCs w:val="21"/>
              </w:rPr>
              <w:t>※</w:t>
            </w:r>
            <w:r>
              <w:rPr>
                <w:rFonts w:hint="eastAsia" w:ascii="宋体" w:hAnsi="宋体" w:cs="宋体"/>
                <w:color w:val="000000"/>
                <w:kern w:val="0"/>
                <w:sz w:val="20"/>
                <w:szCs w:val="20"/>
              </w:rPr>
              <w:t>支持H.460、ICE、STUN、TURN、SNP协议，实现H.323/SIP设备公私网穿越功能；须提供第三方权威机构检测报告证明。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6、</w:t>
            </w:r>
            <w:r>
              <w:rPr>
                <w:rFonts w:hint="eastAsia" w:ascii="宋体" w:hAnsi="宋体" w:cs="宋体"/>
                <w:kern w:val="0"/>
                <w:szCs w:val="21"/>
              </w:rPr>
              <w:t>※</w:t>
            </w:r>
            <w:r>
              <w:rPr>
                <w:rFonts w:hint="eastAsia" w:ascii="宋体" w:hAnsi="宋体" w:cs="宋体"/>
                <w:color w:val="000000"/>
                <w:kern w:val="0"/>
                <w:sz w:val="20"/>
                <w:szCs w:val="20"/>
              </w:rPr>
              <w:t>支持并提供资源池功能，将多台不同型号的MCU组成资源池，实现MCU资源统一管理，具备负载均衡功能。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7、支持设置主席、一键静闭音、广播/选看会场、设置多画面、多画面轮询、锁定会议演示、声控切换、点名送等功能。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8、</w:t>
            </w:r>
            <w:r>
              <w:rPr>
                <w:rFonts w:hint="eastAsia" w:ascii="宋体" w:hAnsi="宋体" w:cs="宋体"/>
                <w:kern w:val="0"/>
                <w:szCs w:val="21"/>
              </w:rPr>
              <w:t>※</w:t>
            </w:r>
            <w:r>
              <w:rPr>
                <w:rFonts w:hint="eastAsia" w:ascii="宋体" w:hAnsi="宋体" w:cs="宋体"/>
                <w:kern w:val="0"/>
                <w:sz w:val="20"/>
                <w:szCs w:val="20"/>
              </w:rPr>
              <w:t>支持锁定会场视频源功能实现会场观看画面不受广播、点名、声控切换等操作影响；须提供第三方权威机构检测报告证明。</w:t>
            </w:r>
            <w:r>
              <w:rPr>
                <w:rFonts w:hint="eastAsia" w:ascii="宋体" w:hAnsi="宋体" w:cs="宋体"/>
                <w:kern w:val="0"/>
                <w:sz w:val="20"/>
                <w:szCs w:val="20"/>
              </w:rPr>
              <w:br w:type="textWrapping"/>
            </w:r>
            <w:r>
              <w:rPr>
                <w:rFonts w:hint="eastAsia" w:ascii="宋体" w:hAnsi="宋体" w:cs="宋体"/>
                <w:kern w:val="0"/>
                <w:sz w:val="20"/>
                <w:szCs w:val="20"/>
              </w:rPr>
              <w:t>9、</w:t>
            </w:r>
            <w:r>
              <w:rPr>
                <w:rFonts w:hint="eastAsia" w:ascii="宋体" w:hAnsi="宋体" w:cs="宋体"/>
                <w:kern w:val="0"/>
                <w:szCs w:val="21"/>
              </w:rPr>
              <w:t>※</w:t>
            </w:r>
            <w:r>
              <w:rPr>
                <w:rFonts w:hint="eastAsia" w:ascii="宋体" w:hAnsi="宋体" w:cs="宋体"/>
                <w:kern w:val="0"/>
                <w:sz w:val="20"/>
                <w:szCs w:val="20"/>
              </w:rPr>
              <w:t>支持在会议管理界面上进行录制、直播、设置录播视频源等操作。</w:t>
            </w:r>
            <w:r>
              <w:rPr>
                <w:rFonts w:hint="eastAsia" w:ascii="宋体" w:hAnsi="宋体" w:cs="宋体"/>
                <w:kern w:val="0"/>
                <w:sz w:val="20"/>
                <w:szCs w:val="20"/>
              </w:rPr>
              <w:br w:type="textWrapping"/>
            </w:r>
            <w:r>
              <w:rPr>
                <w:rFonts w:hint="eastAsia" w:ascii="宋体" w:hAnsi="宋体" w:cs="宋体"/>
                <w:kern w:val="0"/>
                <w:sz w:val="20"/>
                <w:szCs w:val="20"/>
              </w:rPr>
              <w:t>10、支持在会议管理平台上显示会场终端的本地麦克风开关状态。</w:t>
            </w:r>
            <w:r>
              <w:rPr>
                <w:rFonts w:hint="eastAsia" w:ascii="宋体" w:hAnsi="宋体" w:cs="宋体"/>
                <w:kern w:val="0"/>
                <w:sz w:val="20"/>
                <w:szCs w:val="20"/>
              </w:rPr>
              <w:br w:type="textWrapping"/>
            </w:r>
            <w:r>
              <w:rPr>
                <w:rFonts w:hint="eastAsia" w:ascii="宋体" w:hAnsi="宋体" w:cs="宋体"/>
                <w:kern w:val="0"/>
                <w:sz w:val="20"/>
                <w:szCs w:val="20"/>
              </w:rPr>
              <w:t>11、</w:t>
            </w:r>
            <w:r>
              <w:rPr>
                <w:rFonts w:hint="eastAsia" w:ascii="宋体" w:hAnsi="宋体" w:cs="宋体"/>
                <w:kern w:val="0"/>
                <w:szCs w:val="21"/>
              </w:rPr>
              <w:t>※</w:t>
            </w:r>
            <w:r>
              <w:rPr>
                <w:rFonts w:hint="eastAsia" w:ascii="宋体" w:hAnsi="宋体" w:cs="宋体"/>
                <w:kern w:val="0"/>
                <w:sz w:val="20"/>
                <w:szCs w:val="20"/>
              </w:rPr>
              <w:t>支持会议合并、会议拆分功能，须提供第三方权威机构检测报告证明。。</w:t>
            </w:r>
            <w:r>
              <w:rPr>
                <w:rFonts w:hint="eastAsia" w:ascii="宋体" w:hAnsi="宋体" w:cs="宋体"/>
                <w:kern w:val="0"/>
                <w:sz w:val="20"/>
                <w:szCs w:val="20"/>
              </w:rPr>
              <w:br w:type="textWrapping"/>
            </w:r>
            <w:r>
              <w:rPr>
                <w:rFonts w:hint="eastAsia" w:ascii="宋体" w:hAnsi="宋体" w:cs="宋体"/>
                <w:kern w:val="0"/>
                <w:sz w:val="20"/>
                <w:szCs w:val="20"/>
              </w:rPr>
              <w:t>12、</w:t>
            </w:r>
            <w:r>
              <w:rPr>
                <w:rFonts w:hint="eastAsia" w:ascii="宋体" w:hAnsi="宋体" w:cs="宋体"/>
                <w:kern w:val="0"/>
                <w:szCs w:val="21"/>
              </w:rPr>
              <w:t>※</w:t>
            </w:r>
            <w:r>
              <w:rPr>
                <w:rFonts w:hint="eastAsia" w:ascii="宋体" w:hAnsi="宋体" w:cs="宋体"/>
                <w:kern w:val="0"/>
                <w:sz w:val="20"/>
                <w:szCs w:val="20"/>
              </w:rPr>
              <w:t>支持两点变多点会议调度功能，须提供第三方权威机构检测报告证明。</w:t>
            </w:r>
            <w:r>
              <w:rPr>
                <w:rFonts w:hint="eastAsia" w:ascii="宋体" w:hAnsi="宋体" w:cs="宋体"/>
                <w:kern w:val="0"/>
                <w:sz w:val="20"/>
                <w:szCs w:val="20"/>
              </w:rPr>
              <w:br w:type="textWrapping"/>
            </w:r>
            <w:r>
              <w:rPr>
                <w:rFonts w:hint="eastAsia" w:ascii="宋体" w:hAnsi="宋体" w:cs="宋体"/>
                <w:color w:val="000000"/>
                <w:kern w:val="0"/>
                <w:sz w:val="20"/>
                <w:szCs w:val="20"/>
              </w:rPr>
              <w:t>13、支持会议模板预置多画面、字幕、横幅、广播、主席轮询等参数。</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14、支持MCU及终端设备状态查看、自动发现、批量放号、参数批量配置、配置锁定、配置备份/恢复、告警管理等功能。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15、支持管理平台进行全网设备统一配置管理，实现对终端、MCU设备进行远程批量升级，升级时间可自定义，通过其他工具对单台终端或MCU进行升级视作不满足。</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16、支持按帐号所属类型和所属组织，来进行分级分权管理；须提供第三方权威机构检测报告证明。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17、支持并提供网络拓扑图管理，可根据设备的物理位置以多级图层显示，支持拓扑图缩放显示；实现实时监控设备忙闲状态、告警、参数配置等功能。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18、</w:t>
            </w:r>
            <w:r>
              <w:rPr>
                <w:rFonts w:hint="eastAsia" w:ascii="宋体" w:hAnsi="宋体" w:cs="宋体"/>
                <w:kern w:val="0"/>
                <w:szCs w:val="21"/>
              </w:rPr>
              <w:t>※</w:t>
            </w:r>
            <w:r>
              <w:rPr>
                <w:rFonts w:hint="eastAsia" w:ascii="宋体" w:hAnsi="宋体" w:cs="宋体"/>
                <w:kern w:val="0"/>
                <w:sz w:val="20"/>
                <w:szCs w:val="20"/>
              </w:rPr>
              <w:t>支持会议模板预置多画面、字幕、横幅、广播、主席轮询等参数；须提供第三方权威机构检测报告证明。</w:t>
            </w:r>
            <w:r>
              <w:rPr>
                <w:rFonts w:hint="eastAsia" w:ascii="宋体" w:hAnsi="宋体" w:cs="宋体"/>
                <w:kern w:val="0"/>
                <w:sz w:val="20"/>
                <w:szCs w:val="20"/>
              </w:rPr>
              <w:br w:type="textWrapping"/>
            </w:r>
            <w:r>
              <w:rPr>
                <w:rFonts w:hint="eastAsia" w:ascii="宋体" w:hAnsi="宋体" w:cs="宋体"/>
                <w:color w:val="000000"/>
                <w:kern w:val="0"/>
                <w:sz w:val="20"/>
                <w:szCs w:val="20"/>
              </w:rPr>
              <w:t>19、支持为计费系统提供CDR话单功能，支持自定义时间段查询、导出点对点及多点话单；支持按照设备、会议方式生成统计报告。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20、</w:t>
            </w:r>
            <w:r>
              <w:rPr>
                <w:rFonts w:hint="eastAsia" w:ascii="宋体" w:hAnsi="宋体" w:cs="宋体"/>
                <w:kern w:val="0"/>
                <w:sz w:val="20"/>
                <w:szCs w:val="20"/>
              </w:rPr>
              <w:t>支持ROI报表统计功能；须提供第三方权威机构检测报告证明。</w:t>
            </w:r>
            <w:r>
              <w:rPr>
                <w:rFonts w:hint="eastAsia" w:ascii="宋体" w:hAnsi="宋体" w:cs="宋体"/>
                <w:kern w:val="0"/>
                <w:sz w:val="20"/>
                <w:szCs w:val="20"/>
              </w:rPr>
              <w:br w:type="textWrapping"/>
            </w:r>
            <w:r>
              <w:rPr>
                <w:rFonts w:hint="eastAsia" w:ascii="宋体" w:hAnsi="宋体" w:cs="宋体"/>
                <w:color w:val="000000"/>
                <w:kern w:val="0"/>
                <w:sz w:val="20"/>
                <w:szCs w:val="20"/>
              </w:rPr>
              <w:t>21、提供基于SOAP二次开发接口，实现与第三方系统集成；须提供第三方权威机构检测报告证明。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22、须提供所投设备的软件著作权登记证书。</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23、支持不少于50个硬件终端注册与管理能力。</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 xml:space="preserve">1 </w:t>
            </w: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配置3年维保</w:t>
            </w:r>
          </w:p>
        </w:tc>
      </w:tr>
      <w:tr>
        <w:tblPrEx>
          <w:tblLayout w:type="fixed"/>
          <w:tblCellMar>
            <w:top w:w="0" w:type="dxa"/>
            <w:left w:w="108" w:type="dxa"/>
            <w:bottom w:w="0" w:type="dxa"/>
            <w:right w:w="108" w:type="dxa"/>
          </w:tblCellMar>
        </w:tblPrEx>
        <w:trPr>
          <w:trHeight w:val="540" w:hRule="atLeast"/>
        </w:trPr>
        <w:tc>
          <w:tcPr>
            <w:tcW w:w="86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录播服务器</w:t>
            </w:r>
          </w:p>
        </w:tc>
        <w:tc>
          <w:tcPr>
            <w:tcW w:w="53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rFonts w:hint="eastAsia" w:ascii="宋体" w:hAnsi="宋体" w:cs="宋体"/>
                <w:kern w:val="0"/>
                <w:szCs w:val="21"/>
              </w:rPr>
              <w:t>※</w:t>
            </w:r>
            <w:r>
              <w:rPr>
                <w:rFonts w:hint="eastAsia" w:ascii="宋体" w:hAnsi="宋体" w:cs="宋体"/>
                <w:color w:val="000000"/>
                <w:kern w:val="0"/>
                <w:sz w:val="20"/>
                <w:szCs w:val="20"/>
              </w:rPr>
              <w:t>产品必须与MCU同一品牌。</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 xml:space="preserve">2、支持H.323和SIP会议录制，录制带宽支持128Kbps～8Mbps；须提供第三方权威机构检测报告证明。 </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3、支持H.264 HP等视频协议，支持1080p60、1080p30视频格式；支持AAC-LD、AAC-LC、G.711a、G.711u、G.722等音频编解码协议. 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4、具备良好的网络适应性，20%的网络丢包下,音视频清晰，不影响会议录制。</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5、</w:t>
            </w:r>
            <w:r>
              <w:rPr>
                <w:rFonts w:hint="eastAsia" w:ascii="宋体" w:hAnsi="宋体" w:cs="宋体"/>
                <w:kern w:val="0"/>
                <w:szCs w:val="21"/>
              </w:rPr>
              <w:t>※</w:t>
            </w:r>
            <w:r>
              <w:rPr>
                <w:rFonts w:hint="eastAsia" w:ascii="宋体" w:hAnsi="宋体" w:cs="宋体"/>
                <w:color w:val="000000"/>
                <w:kern w:val="0"/>
                <w:sz w:val="20"/>
                <w:szCs w:val="20"/>
              </w:rPr>
              <w:t>支持H.235、TLS、SRTP安全加密协议；支持IPV4和IPV6协议栈；须提供第三方权威机构检测报告证明。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6、支持不少于2个10M/100M/1000M自适应网口。</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7、</w:t>
            </w:r>
            <w:r>
              <w:rPr>
                <w:rFonts w:hint="eastAsia" w:ascii="宋体" w:hAnsi="宋体" w:cs="宋体"/>
                <w:kern w:val="0"/>
                <w:szCs w:val="21"/>
              </w:rPr>
              <w:t>※</w:t>
            </w:r>
            <w:r>
              <w:rPr>
                <w:rFonts w:hint="eastAsia" w:ascii="宋体" w:hAnsi="宋体" w:cs="宋体"/>
                <w:kern w:val="0"/>
                <w:sz w:val="20"/>
                <w:szCs w:val="20"/>
              </w:rPr>
              <w:t>支持硬盘、芯片、电源备份功能，以提高系统稳定性；须提供</w:t>
            </w:r>
            <w:r>
              <w:rPr>
                <w:rFonts w:hint="eastAsia" w:ascii="宋体" w:hAnsi="宋体" w:cs="宋体"/>
                <w:color w:val="000000"/>
                <w:kern w:val="0"/>
                <w:sz w:val="20"/>
                <w:szCs w:val="20"/>
              </w:rPr>
              <w:t>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8、存储容量至少1T，不少于1500小时512Kbps双流码流的录制时间。</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9、支持最高不少于28路1080p60双流会议并发录制；本次配置要求不少于4路高清会议同时录播能力。</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10、支持最高不少于1000路并发点播观看，本次配置要求不少于500路会议同时点播能力。</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11、支持在PC、平板、手机等移动设备上基于浏览器可观看会议直播，无需安装浏览器插件或客户端软件； 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12、支持画面布局切换，实现单屏、双屏、画中画模式等模式观看。</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13、支持MP4、AVI、WMV、ASF、FLV等多种文件存储格式；支持外围IPSAN、NAS外部存储扩容等。须提供第三方权威机构检测报告证明。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14、支持热点视频功能，将录制的重要会议视频设置成热点视频在首页显示。</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15、</w:t>
            </w:r>
            <w:r>
              <w:rPr>
                <w:rFonts w:hint="eastAsia" w:ascii="宋体" w:hAnsi="宋体" w:cs="宋体"/>
                <w:kern w:val="0"/>
                <w:sz w:val="20"/>
                <w:szCs w:val="20"/>
              </w:rPr>
              <w:t>支持同时录制高清、标清两路会议码流，须提供第三方权威机构检测报告证明。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16、支持对点播视频进行分类筛选、查找、排序等功能，同时可以将视频文件进行下载及保存。</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17、支持Word、PDF、PPT等格式的会议附件，归档上传功能；支持登录鉴权、分级观看，可根据不同用户权限观看发布的视频内容。</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18、</w:t>
            </w:r>
            <w:r>
              <w:rPr>
                <w:rFonts w:hint="eastAsia" w:ascii="宋体" w:hAnsi="宋体" w:cs="宋体"/>
                <w:kern w:val="0"/>
                <w:szCs w:val="21"/>
              </w:rPr>
              <w:t>※</w:t>
            </w:r>
            <w:r>
              <w:rPr>
                <w:rFonts w:hint="eastAsia" w:ascii="宋体" w:hAnsi="宋体" w:cs="宋体"/>
                <w:kern w:val="0"/>
                <w:sz w:val="20"/>
                <w:szCs w:val="20"/>
              </w:rPr>
              <w:t>支持录制文件FTP转存功能；须提供第三方权威机构检测报告证明。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17、支持在会议管理平台界面、终端侧及录播界面上进行录制控制，包括启动/暂停/结束录制。</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18、提供SDK二次开发接口，实现与第三方系统集成；须提供第三方权威机构检测报告证明。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19、设备需要电信入网证、3C证书。</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 xml:space="preserve">1 </w:t>
            </w: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配置3年维保</w:t>
            </w:r>
          </w:p>
        </w:tc>
      </w:tr>
      <w:tr>
        <w:tblPrEx>
          <w:tblLayout w:type="fixed"/>
          <w:tblCellMar>
            <w:top w:w="0" w:type="dxa"/>
            <w:left w:w="108" w:type="dxa"/>
            <w:bottom w:w="0" w:type="dxa"/>
            <w:right w:w="108" w:type="dxa"/>
          </w:tblCellMar>
        </w:tblPrEx>
        <w:trPr>
          <w:trHeight w:val="540" w:hRule="atLeast"/>
        </w:trPr>
        <w:tc>
          <w:tcPr>
            <w:tcW w:w="86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指挥中心</w:t>
            </w:r>
          </w:p>
        </w:tc>
        <w:tc>
          <w:tcPr>
            <w:tcW w:w="141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高清终端</w:t>
            </w:r>
          </w:p>
        </w:tc>
        <w:tc>
          <w:tcPr>
            <w:tcW w:w="53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rFonts w:hint="eastAsia" w:ascii="宋体" w:hAnsi="宋体" w:cs="宋体"/>
                <w:kern w:val="0"/>
                <w:szCs w:val="21"/>
              </w:rPr>
              <w:t>※</w:t>
            </w:r>
            <w:r>
              <w:rPr>
                <w:rFonts w:hint="eastAsia" w:ascii="宋体" w:hAnsi="宋体" w:cs="宋体"/>
                <w:color w:val="000000"/>
                <w:kern w:val="0"/>
                <w:sz w:val="20"/>
                <w:szCs w:val="20"/>
              </w:rPr>
              <w:t xml:space="preserve"> 和MCU同一品牌，确保应用功能的完整性，管理的统一性。</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2、要求采用嵌入式操作系统，非Windows、Android系统，非PC、工控机架构。</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w:t>
            </w:r>
            <w:r>
              <w:rPr>
                <w:rFonts w:hint="eastAsia" w:ascii="宋体" w:hAnsi="宋体" w:cs="宋体"/>
                <w:kern w:val="0"/>
                <w:szCs w:val="21"/>
              </w:rPr>
              <w:t>※</w:t>
            </w:r>
            <w:r>
              <w:rPr>
                <w:rFonts w:hint="eastAsia" w:ascii="宋体" w:hAnsi="宋体" w:cs="宋体"/>
                <w:color w:val="000000"/>
                <w:kern w:val="0"/>
                <w:sz w:val="20"/>
                <w:szCs w:val="20"/>
              </w:rPr>
              <w:t>支持H.323/SIP协议标准。同时支持IPV4和IPV6协议栈，要求提供厂家官网参数截图加章。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4、支持IP接入速率64Kbps-8Mbps。</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5、</w:t>
            </w:r>
            <w:r>
              <w:rPr>
                <w:rFonts w:hint="eastAsia" w:ascii="宋体" w:hAnsi="宋体" w:cs="宋体"/>
                <w:kern w:val="0"/>
                <w:szCs w:val="21"/>
              </w:rPr>
              <w:t>※</w:t>
            </w:r>
            <w:r>
              <w:rPr>
                <w:rFonts w:hint="eastAsia" w:ascii="宋体" w:hAnsi="宋体" w:cs="宋体"/>
                <w:color w:val="000000"/>
                <w:kern w:val="0"/>
                <w:sz w:val="20"/>
                <w:szCs w:val="20"/>
              </w:rPr>
              <w:t>视频支持H.264HP、H.264SVC图像编码协议，应提供第三方权威机构报告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6、所投设备图像格式支持1080P60帧、1080P30帧、720/30帧等。</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7、音频支持G.722、G.719、G.729A、AAC-LD等音频协议。</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 xml:space="preserve">8、支持H.239与BFCP协议，提供产品官网参数截图加盖厂商鲜章。 </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9、终端召开点对点会议时，支持同时接收和发送辅流，即两会场同时发送辅流，对方会场根据需要，随时调看辅流。</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10、至少6路高清视频输出接口，满足主会场多摄像头接入，要求具有SDI、HDMI、DVI等接口，要求提供背板接口图与说明加盖厂家鲜章；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11、提供至少6路音频输入、至少6路音频输出接口，要求提供产品官网参数截图加盖厂家鲜章。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12、</w:t>
            </w:r>
            <w:r>
              <w:rPr>
                <w:rFonts w:hint="eastAsia" w:ascii="宋体" w:hAnsi="宋体" w:cs="宋体"/>
                <w:kern w:val="0"/>
                <w:szCs w:val="21"/>
              </w:rPr>
              <w:t>※</w:t>
            </w:r>
            <w:r>
              <w:rPr>
                <w:rFonts w:hint="eastAsia" w:ascii="宋体" w:hAnsi="宋体" w:cs="宋体"/>
                <w:color w:val="000000"/>
                <w:kern w:val="0"/>
                <w:sz w:val="20"/>
                <w:szCs w:val="20"/>
              </w:rPr>
              <w:t>支持3G-SDI输入/输出接口，高清终端和摄像机或矩阵之间可以达到60米的传输距离信号无明显衰减。</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13、支持摄像头一线连接终端，通过这个线缆可以传输视频信号、控制信号和摄像头供电。</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14、终端支持PSTN接口，实现视频会议和手机、固话的互通和互为备份，要求提供产品官网参数截图加盖厂家鲜章。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15、H.235信令和媒体流加密、AES加密、TLS会议接入密码保证会议安全，要求提供产品官网参数截图加盖厂家鲜章。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16、支持IP网络升速、降速完全自适应，即根据IP网络带宽的变化，自动调整会议中视音频带宽，保证图像语音质量良好。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17、支持在两个显示设备分别显示远端（或本端）主流和辅流；支持在一个显示设备以画中画、二分屏、三分屏等多种模式同时显示2路或3路图像。</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18、终端支持VGA掉电环回功能，终端下电后支持VGA输入输出口环回功能，要求提供第三方检测报告。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19、终端支持Wi-Fi热点和客户端开启和关闭功能，能够通过WIFI网络进行视音频通信，方便会议室网络布线。</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20、电脑桌面可以通过网络发送到终端，并通过终端双流协议发送到远端会场，电脑和终端之间无需通过视频线缆连接，方便部署。</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21、终端支持多视功能，终端2路视频信号经终端合并为一路发送给远端。要求提供第三方权威检测报告。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22、支持主席会场全会议控制功能，要求终端申请主席后能进行：点名发言、广播会场、设置多画面模式、添加会场、删除会场、结束会议等操作。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23、支持T.140的字幕功能，可以在会议中发送字幕和短消息进行提示。</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24、</w:t>
            </w:r>
            <w:r>
              <w:rPr>
                <w:rFonts w:hint="eastAsia" w:ascii="宋体" w:hAnsi="宋体" w:cs="宋体"/>
                <w:kern w:val="0"/>
                <w:szCs w:val="21"/>
              </w:rPr>
              <w:t>※</w:t>
            </w:r>
            <w:r>
              <w:rPr>
                <w:rFonts w:hint="eastAsia" w:ascii="宋体" w:hAnsi="宋体" w:cs="宋体"/>
                <w:kern w:val="0"/>
                <w:sz w:val="20"/>
                <w:szCs w:val="20"/>
              </w:rPr>
              <w:t>支持语音呼叫功能；须提供第三方权威机构检测报告证明。</w:t>
            </w:r>
            <w:r>
              <w:rPr>
                <w:rFonts w:hint="eastAsia" w:ascii="宋体" w:hAnsi="宋体" w:cs="宋体"/>
                <w:kern w:val="0"/>
                <w:sz w:val="20"/>
                <w:szCs w:val="20"/>
              </w:rPr>
              <w:br w:type="textWrapping"/>
            </w:r>
            <w:r>
              <w:rPr>
                <w:rFonts w:hint="eastAsia" w:ascii="宋体" w:hAnsi="宋体" w:cs="宋体"/>
                <w:color w:val="000000"/>
                <w:kern w:val="0"/>
                <w:sz w:val="20"/>
                <w:szCs w:val="20"/>
              </w:rPr>
              <w:t>25、终端支持红外遥控操作，可以通过遥控器直接对终端控制；</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26、全中文图形化界面，支持遥控器中文输入，应具有基本的维护检测功能，本端音频自环、视频自环、远端环回、事件日志、远端升级维护等功能。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27、终端支持静态NAT、H.460等公私网穿越协议。</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28、终端至少支持2个10M/100M/1000M自适应网口，要求提供产品厂家官网参数截图加盖厂家鲜章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29、</w:t>
            </w:r>
            <w:r>
              <w:rPr>
                <w:rFonts w:hint="eastAsia" w:ascii="宋体" w:hAnsi="宋体" w:cs="宋体"/>
                <w:kern w:val="0"/>
                <w:sz w:val="20"/>
                <w:szCs w:val="20"/>
              </w:rPr>
              <w:t>终端支持在前面板显示运行状态、IP地址、会场号码等</w:t>
            </w:r>
            <w:r>
              <w:rPr>
                <w:rFonts w:hint="eastAsia" w:ascii="宋体" w:hAnsi="宋体" w:cs="宋体"/>
                <w:color w:val="000000"/>
                <w:kern w:val="0"/>
                <w:sz w:val="20"/>
                <w:szCs w:val="20"/>
              </w:rPr>
              <w:t>，要求提供第三方权威检测报告。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30、能够提供API接口，方便二次开发集成，要求提供产品厂家官网参数截图加盖厂家鲜章。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31、终端具有中国电信入网、CCC等证书加盖厂家鲜章。</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配置3年维保</w:t>
            </w:r>
          </w:p>
        </w:tc>
      </w:tr>
      <w:tr>
        <w:tblPrEx>
          <w:tblLayout w:type="fixed"/>
          <w:tblCellMar>
            <w:top w:w="0" w:type="dxa"/>
            <w:left w:w="108" w:type="dxa"/>
            <w:bottom w:w="0" w:type="dxa"/>
            <w:right w:w="108" w:type="dxa"/>
          </w:tblCellMar>
        </w:tblPrEx>
        <w:trPr>
          <w:trHeight w:val="540" w:hRule="atLeast"/>
        </w:trPr>
        <w:tc>
          <w:tcPr>
            <w:tcW w:w="86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高清摄像头</w:t>
            </w:r>
          </w:p>
        </w:tc>
        <w:tc>
          <w:tcPr>
            <w:tcW w:w="53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rFonts w:hint="eastAsia" w:ascii="宋体" w:hAnsi="宋体" w:cs="宋体"/>
                <w:kern w:val="0"/>
                <w:szCs w:val="21"/>
              </w:rPr>
              <w:t>※</w:t>
            </w:r>
            <w:r>
              <w:rPr>
                <w:rFonts w:hint="eastAsia" w:ascii="宋体" w:hAnsi="宋体" w:cs="宋体"/>
                <w:color w:val="000000"/>
                <w:kern w:val="0"/>
                <w:sz w:val="20"/>
                <w:szCs w:val="20"/>
              </w:rPr>
              <w:t>必须是与高清终端同品牌摄像机，确保应用功能的完整性，管理的统一性。</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2、支持12倍光学变焦，12倍数字变焦，支持1080P 50/60fps、1080p 25/30、视频输出，要求提供厂家官网参数截图加鲜章。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3、支持230万像素 1/2.8英寸CMOS成像芯片，在不增加外置广角镜的情况下可以实现70°以上的广角拍摄，最大水平视角72°，最大垂直视角44.5°。</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4、支持摄像机倒装，便于摄像机倒装在天花板上。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5、支持吊装模式下图像调转、支持红外控制摄像机等操作，要求提供第三检测报告。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6、</w:t>
            </w:r>
            <w:r>
              <w:rPr>
                <w:rFonts w:hint="eastAsia" w:ascii="宋体" w:hAnsi="宋体" w:cs="宋体"/>
                <w:kern w:val="0"/>
                <w:szCs w:val="21"/>
              </w:rPr>
              <w:t>※</w:t>
            </w:r>
            <w:r>
              <w:rPr>
                <w:rFonts w:hint="eastAsia" w:ascii="宋体" w:hAnsi="宋体" w:cs="宋体"/>
                <w:color w:val="000000"/>
                <w:kern w:val="0"/>
                <w:sz w:val="20"/>
                <w:szCs w:val="20"/>
              </w:rPr>
              <w:t>摄像机具有LCD 显示功能，可以实时显示当前视频输出格式或者故障代码，便于维护人员诊断和维护。</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7、</w:t>
            </w:r>
            <w:r>
              <w:rPr>
                <w:rFonts w:hint="eastAsia" w:ascii="宋体" w:hAnsi="宋体" w:cs="宋体"/>
                <w:kern w:val="0"/>
                <w:szCs w:val="21"/>
              </w:rPr>
              <w:t>※</w:t>
            </w:r>
            <w:r>
              <w:rPr>
                <w:rFonts w:hint="eastAsia" w:ascii="宋体" w:hAnsi="宋体" w:cs="宋体"/>
                <w:color w:val="000000"/>
                <w:kern w:val="0"/>
                <w:sz w:val="20"/>
                <w:szCs w:val="20"/>
              </w:rPr>
              <w:t>支持三合一接口，可同时实现视频、控制信号的传输以及对摄像机进行供电的要求，</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8、支持通过按键设置摄像机视频输出格式，不需要重启摄像机。</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9、支持低照度下的背光补偿</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10、支持通过终端遥控器或WEB界面对镜头视频格式、曝光指数、白平衡、对比度和降噪等参数进行远程调整。</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11、支持≥30个的预置位</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12、支持标准、鲜艳、柔和三种图像模式的选择</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13、</w:t>
            </w:r>
            <w:r>
              <w:rPr>
                <w:rFonts w:hint="eastAsia" w:ascii="宋体" w:hAnsi="宋体" w:cs="宋体"/>
                <w:kern w:val="0"/>
                <w:szCs w:val="21"/>
              </w:rPr>
              <w:t>※</w:t>
            </w:r>
            <w:r>
              <w:rPr>
                <w:rFonts w:hint="eastAsia" w:ascii="宋体" w:hAnsi="宋体" w:cs="宋体"/>
                <w:color w:val="000000"/>
                <w:kern w:val="0"/>
                <w:sz w:val="20"/>
                <w:szCs w:val="20"/>
              </w:rPr>
              <w:t>要求视频输出接口支持3G-SDI等接口类型</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配置3年维保</w:t>
            </w:r>
          </w:p>
        </w:tc>
      </w:tr>
      <w:tr>
        <w:tblPrEx>
          <w:tblLayout w:type="fixed"/>
          <w:tblCellMar>
            <w:top w:w="0" w:type="dxa"/>
            <w:left w:w="108" w:type="dxa"/>
            <w:bottom w:w="0" w:type="dxa"/>
            <w:right w:w="108" w:type="dxa"/>
          </w:tblCellMar>
        </w:tblPrEx>
        <w:trPr>
          <w:trHeight w:val="540" w:hRule="atLeast"/>
        </w:trPr>
        <w:tc>
          <w:tcPr>
            <w:tcW w:w="86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吊顶麦克风</w:t>
            </w:r>
          </w:p>
        </w:tc>
        <w:tc>
          <w:tcPr>
            <w:tcW w:w="53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rFonts w:hint="eastAsia" w:ascii="宋体" w:hAnsi="宋体" w:cs="宋体"/>
                <w:kern w:val="0"/>
                <w:szCs w:val="21"/>
              </w:rPr>
              <w:t>※</w:t>
            </w:r>
            <w:r>
              <w:rPr>
                <w:rFonts w:hint="eastAsia" w:ascii="宋体" w:hAnsi="宋体" w:cs="宋体"/>
                <w:color w:val="000000"/>
                <w:kern w:val="0"/>
                <w:sz w:val="20"/>
                <w:szCs w:val="20"/>
              </w:rPr>
              <w:t>与MCU和终端为同一品牌</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2、支持360度全向拾音方向</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3、支持6米拾音范围</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4、支持G.711、G.722与AAL-LD等音频协议</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5、要求麦克风支持吊装功能</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 xml:space="preserve">1 </w:t>
            </w: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配置3年维保</w:t>
            </w:r>
          </w:p>
        </w:tc>
      </w:tr>
      <w:tr>
        <w:tblPrEx>
          <w:tblLayout w:type="fixed"/>
          <w:tblCellMar>
            <w:top w:w="0" w:type="dxa"/>
            <w:left w:w="108" w:type="dxa"/>
            <w:bottom w:w="0" w:type="dxa"/>
            <w:right w:w="108" w:type="dxa"/>
          </w:tblCellMar>
        </w:tblPrEx>
        <w:trPr>
          <w:trHeight w:val="540" w:hRule="atLeast"/>
        </w:trPr>
        <w:tc>
          <w:tcPr>
            <w:tcW w:w="86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视频会议室</w:t>
            </w:r>
          </w:p>
        </w:tc>
        <w:tc>
          <w:tcPr>
            <w:tcW w:w="141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高清终端</w:t>
            </w:r>
          </w:p>
        </w:tc>
        <w:tc>
          <w:tcPr>
            <w:tcW w:w="53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rFonts w:hint="eastAsia" w:ascii="宋体" w:hAnsi="宋体" w:cs="宋体"/>
                <w:kern w:val="0"/>
                <w:szCs w:val="21"/>
              </w:rPr>
              <w:t>※</w:t>
            </w:r>
            <w:r>
              <w:rPr>
                <w:rFonts w:hint="eastAsia" w:ascii="宋体" w:hAnsi="宋体" w:cs="宋体"/>
                <w:color w:val="000000"/>
                <w:kern w:val="0"/>
                <w:sz w:val="20"/>
                <w:szCs w:val="20"/>
              </w:rPr>
              <w:t>与MCU同一品牌，确保应用功能的完整性，管理的统一性。</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2、要求采用嵌入式操作系统，非Windows、Android系统，非PC、工控机架构。</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w:t>
            </w:r>
            <w:r>
              <w:rPr>
                <w:rFonts w:hint="eastAsia" w:ascii="宋体" w:hAnsi="宋体" w:cs="宋体"/>
                <w:kern w:val="0"/>
                <w:szCs w:val="21"/>
              </w:rPr>
              <w:t>※</w:t>
            </w:r>
            <w:r>
              <w:rPr>
                <w:rFonts w:hint="eastAsia" w:ascii="宋体" w:hAnsi="宋体" w:cs="宋体"/>
                <w:color w:val="000000"/>
                <w:kern w:val="0"/>
                <w:sz w:val="20"/>
                <w:szCs w:val="20"/>
              </w:rPr>
              <w:t>支持H.323/SIP协议标准。同时支持IPV4和IPV6协议栈，要求提供厂家官网参数截图加章。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4、支持IP接入速率64Kbps-8Mbps。</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5、</w:t>
            </w:r>
            <w:r>
              <w:rPr>
                <w:rFonts w:hint="eastAsia" w:ascii="宋体" w:hAnsi="宋体" w:cs="宋体"/>
                <w:kern w:val="0"/>
                <w:szCs w:val="21"/>
              </w:rPr>
              <w:t>※</w:t>
            </w:r>
            <w:r>
              <w:rPr>
                <w:rFonts w:hint="eastAsia" w:ascii="宋体" w:hAnsi="宋体" w:cs="宋体"/>
                <w:color w:val="000000"/>
                <w:kern w:val="0"/>
                <w:sz w:val="20"/>
                <w:szCs w:val="20"/>
              </w:rPr>
              <w:t>视频支持H.264HP、H.264SVC图像编码协议，应提供第三方权威机构报告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6、所投设备图像格式支持1080P60帧、1080P30帧、720/30帧等。</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7、音频支持G.722、G.719、G.729A、AAC-LD等音频协议。</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 xml:space="preserve">8、支持H.239与BFCP协议，提供产品官网参数截图加盖厂商鲜章。 </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9、终端召开点对点会议时，支持同时接收和发送辅流，即两会场同时发送辅流，对方会场根据需要，随时调看辅流。</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10、至少6路高清视频输出接口，满足主会场多摄像头接入，要求具有SDI、HDMI、DVI等接口，要求提供背板接口图与说明加盖厂家鲜章；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11、提供至少6路音频输入、至少6路音频输出接口，要求提供产品官网参数截图加盖厂家鲜章。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12、</w:t>
            </w:r>
            <w:r>
              <w:rPr>
                <w:rFonts w:hint="eastAsia" w:ascii="宋体" w:hAnsi="宋体" w:cs="宋体"/>
                <w:kern w:val="0"/>
                <w:szCs w:val="21"/>
              </w:rPr>
              <w:t>※</w:t>
            </w:r>
            <w:r>
              <w:rPr>
                <w:rFonts w:hint="eastAsia" w:ascii="宋体" w:hAnsi="宋体" w:cs="宋体"/>
                <w:color w:val="000000"/>
                <w:kern w:val="0"/>
                <w:sz w:val="20"/>
                <w:szCs w:val="20"/>
              </w:rPr>
              <w:t>支持3G-SDI输入/输出接口，高清终端和摄像机或矩阵之间可以达到60米的传输距离信号无明显衰减。</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13、支持摄像头一线连接终端，通过这个线缆可以传输视频信号、控制信号和摄像头供电。</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14、终端支持PSTN接口，实现视频会议和手机、固话的互通和互为备份，要求提供产品官网参数截图加盖厂家鲜章。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15、H.235信令和媒体流加密、AES加密、TLS会议接入密码保证会议安全，要求提供产品官网参数截图加盖厂家鲜章。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16、支持IP网络升速、降速完全自适应，即根据IP网络带宽的变化，自动调整会议中视音频带宽，保证图像语音质量良好。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17、支持在两个显示设备分别显示远端（或本端）主流和辅流；支持在一个显示设备以画中画、二分屏、三分屏等多种模式同时显示2路或3路图像。</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18、终端支持VGA掉电环回功能，终端下电后支持VGA输入输出口环回功能，要求提供第三方检测报告。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19、终端支持Wi-Fi热点和客户端开启和关闭功能，能够通过WIFI网络进行视音频通信，方便会议室网络布线。</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20、电脑桌面可以通过网络发送到终端，并通过终端双流协议发送到远端会场，电脑和终端之间无需通过视频线缆连接，方便部署。</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21、终端支持多视功能，终端2路视频信号经终端合并为一路发送给远端。要求提供第三方权威检测报告。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22、支持主席会场全会议控制功能，要求终端申请主席后能进行：点名发言、广播会场、设置多画面模式、添加会场、删除会场、结束会议等操作。</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23、支持T.140的字幕功能，可以在会议中发送字幕和短消息进行提示。</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24、</w:t>
            </w:r>
            <w:r>
              <w:rPr>
                <w:rFonts w:hint="eastAsia" w:ascii="宋体" w:hAnsi="宋体" w:cs="宋体"/>
                <w:kern w:val="0"/>
                <w:szCs w:val="21"/>
              </w:rPr>
              <w:t>※</w:t>
            </w:r>
            <w:r>
              <w:rPr>
                <w:rFonts w:hint="eastAsia" w:ascii="宋体" w:hAnsi="宋体" w:cs="宋体"/>
                <w:kern w:val="0"/>
                <w:sz w:val="20"/>
                <w:szCs w:val="20"/>
              </w:rPr>
              <w:t>支持语音呼叫功能；须提供第三方权威机构检测报告证明。</w:t>
            </w:r>
            <w:r>
              <w:rPr>
                <w:rFonts w:hint="eastAsia" w:ascii="宋体" w:hAnsi="宋体" w:cs="宋体"/>
                <w:kern w:val="0"/>
                <w:sz w:val="20"/>
                <w:szCs w:val="20"/>
              </w:rPr>
              <w:br w:type="textWrapping"/>
            </w:r>
            <w:r>
              <w:rPr>
                <w:rFonts w:hint="eastAsia" w:ascii="宋体" w:hAnsi="宋体" w:cs="宋体"/>
                <w:color w:val="000000"/>
                <w:kern w:val="0"/>
                <w:sz w:val="20"/>
                <w:szCs w:val="20"/>
              </w:rPr>
              <w:t>25、终端支持红外遥控操作，可以通过遥控器直接对终端控制；</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26、全中文图形化界面，支持遥控器中文输入，应具有基本的维护检测功能，本端音频自环、视频自环、远端环回、事件日志、远端升级维护等功能。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27、终端支持静态NAT、H.460等公私网穿越协议。</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28、终端至少支持2个10M/100M/1000M自适应网口，要求提供产品厂家官网参数截图加盖厂家鲜章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29、</w:t>
            </w:r>
            <w:r>
              <w:rPr>
                <w:rFonts w:hint="eastAsia" w:ascii="宋体" w:hAnsi="宋体" w:cs="宋体"/>
                <w:kern w:val="0"/>
                <w:sz w:val="20"/>
                <w:szCs w:val="20"/>
              </w:rPr>
              <w:t>终端支持在前面板显示运行状态、IP地址、会场号码等，要求提供第三方</w:t>
            </w:r>
            <w:r>
              <w:rPr>
                <w:rFonts w:hint="eastAsia" w:ascii="宋体" w:hAnsi="宋体" w:cs="宋体"/>
                <w:color w:val="000000"/>
                <w:kern w:val="0"/>
                <w:sz w:val="20"/>
                <w:szCs w:val="20"/>
              </w:rPr>
              <w:t>权威检测报告。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30、能够提供API接口，方便二次开发集成，要求提供产品厂家官网参数截图加盖厂家鲜章。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31、终端具有中国电信入网、CCC等证书加盖厂家鲜章。</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 xml:space="preserve">1 </w:t>
            </w: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配置3年维保</w:t>
            </w:r>
          </w:p>
        </w:tc>
      </w:tr>
      <w:tr>
        <w:tblPrEx>
          <w:tblLayout w:type="fixed"/>
          <w:tblCellMar>
            <w:top w:w="0" w:type="dxa"/>
            <w:left w:w="108" w:type="dxa"/>
            <w:bottom w:w="0" w:type="dxa"/>
            <w:right w:w="108" w:type="dxa"/>
          </w:tblCellMar>
        </w:tblPrEx>
        <w:trPr>
          <w:trHeight w:val="540" w:hRule="atLeast"/>
        </w:trPr>
        <w:tc>
          <w:tcPr>
            <w:tcW w:w="86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高清摄像头</w:t>
            </w:r>
          </w:p>
        </w:tc>
        <w:tc>
          <w:tcPr>
            <w:tcW w:w="53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rFonts w:hint="eastAsia" w:ascii="宋体" w:hAnsi="宋体" w:cs="宋体"/>
                <w:kern w:val="0"/>
                <w:szCs w:val="21"/>
              </w:rPr>
              <w:t>※</w:t>
            </w:r>
            <w:r>
              <w:rPr>
                <w:rFonts w:hint="eastAsia" w:ascii="宋体" w:hAnsi="宋体" w:cs="宋体"/>
                <w:color w:val="000000"/>
                <w:kern w:val="0"/>
                <w:sz w:val="20"/>
                <w:szCs w:val="20"/>
              </w:rPr>
              <w:t>必须是与高清终端同品牌摄像机，确保应用功能的完整性，管理的统一性。</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2、支持12倍光学变焦，12倍数字变焦，支持1080P 50/60fps、1080p 25/30、视频输出，要求提供厂家官网参数截图加鲜章。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3、支持230万像素 1/2.8英寸CMOS成像芯片，在不增加外置广角镜的情况下可以实现70°以上的广角拍摄，最大水平视角72°，最大垂直视角44.5°。</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4、支持摄像机倒装，便于摄像机倒装在天花板上。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5、支持吊装模式下图像调转、支持红外控制摄像机等操作，要求提供第三检测报告。</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6、</w:t>
            </w:r>
            <w:r>
              <w:rPr>
                <w:rFonts w:hint="eastAsia" w:ascii="宋体" w:hAnsi="宋体" w:cs="宋体"/>
                <w:kern w:val="0"/>
                <w:szCs w:val="21"/>
              </w:rPr>
              <w:t>※</w:t>
            </w:r>
            <w:r>
              <w:rPr>
                <w:rFonts w:hint="eastAsia" w:ascii="宋体" w:hAnsi="宋体" w:cs="宋体"/>
                <w:color w:val="000000"/>
                <w:kern w:val="0"/>
                <w:sz w:val="20"/>
                <w:szCs w:val="20"/>
              </w:rPr>
              <w:t>摄像机具有LCD 显示功能，可以实时显示当前视频输出格式或者故障代码，便于维护人员诊断和维护。</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7、</w:t>
            </w:r>
            <w:r>
              <w:rPr>
                <w:rFonts w:hint="eastAsia" w:ascii="宋体" w:hAnsi="宋体" w:cs="宋体"/>
                <w:kern w:val="0"/>
                <w:szCs w:val="21"/>
              </w:rPr>
              <w:t>※</w:t>
            </w:r>
            <w:r>
              <w:rPr>
                <w:rFonts w:hint="eastAsia" w:ascii="宋体" w:hAnsi="宋体" w:cs="宋体"/>
                <w:color w:val="000000"/>
                <w:kern w:val="0"/>
                <w:sz w:val="20"/>
                <w:szCs w:val="20"/>
              </w:rPr>
              <w:t>支持三合一接口，可同时实现视频、控制信号的传输以及对摄像机进行供电的要求，</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8、支持通过按键设置摄像机视频输出格式，不需要重启摄像机。</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9、支持低照度下的背光补偿</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10、支持通过终端遥控器或WEB界面对镜头视频格式、曝光指数、白平衡、对比度和降噪等参数进行远程调整。</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11、支持≥30个的预置位</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12、支持标准、鲜艳、柔和三种图像模式的选择</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13、</w:t>
            </w:r>
            <w:r>
              <w:rPr>
                <w:rFonts w:hint="eastAsia" w:ascii="宋体" w:hAnsi="宋体" w:cs="宋体"/>
                <w:kern w:val="0"/>
                <w:szCs w:val="21"/>
              </w:rPr>
              <w:t>※</w:t>
            </w:r>
            <w:r>
              <w:rPr>
                <w:rFonts w:hint="eastAsia" w:ascii="宋体" w:hAnsi="宋体" w:cs="宋体"/>
                <w:color w:val="000000"/>
                <w:kern w:val="0"/>
                <w:sz w:val="20"/>
                <w:szCs w:val="20"/>
              </w:rPr>
              <w:t>要求视频输出接口支持3G-SDI等接口类型</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 xml:space="preserve">1 </w:t>
            </w: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配置3年维保</w:t>
            </w:r>
          </w:p>
        </w:tc>
      </w:tr>
      <w:tr>
        <w:tblPrEx>
          <w:tblLayout w:type="fixed"/>
          <w:tblCellMar>
            <w:top w:w="0" w:type="dxa"/>
            <w:left w:w="108" w:type="dxa"/>
            <w:bottom w:w="0" w:type="dxa"/>
            <w:right w:w="108" w:type="dxa"/>
          </w:tblCellMar>
        </w:tblPrEx>
        <w:trPr>
          <w:trHeight w:val="540" w:hRule="atLeast"/>
        </w:trPr>
        <w:tc>
          <w:tcPr>
            <w:tcW w:w="86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全向数字麦克风</w:t>
            </w:r>
          </w:p>
        </w:tc>
        <w:tc>
          <w:tcPr>
            <w:tcW w:w="53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rFonts w:hint="eastAsia" w:ascii="宋体" w:hAnsi="宋体" w:cs="宋体"/>
                <w:kern w:val="0"/>
                <w:szCs w:val="21"/>
              </w:rPr>
              <w:t>※</w:t>
            </w:r>
            <w:r>
              <w:rPr>
                <w:rFonts w:hint="eastAsia" w:ascii="宋体" w:hAnsi="宋体" w:cs="宋体"/>
                <w:color w:val="000000"/>
                <w:kern w:val="0"/>
                <w:sz w:val="20"/>
                <w:szCs w:val="20"/>
              </w:rPr>
              <w:t>与MCU和终端与为同一品牌</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2、支持360度全向拾音方向</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3、支持6米拾音范围</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4、支持G.711、G.722与AAL-LD等音频协议</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 xml:space="preserve">1 </w:t>
            </w: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配置3年维保</w:t>
            </w:r>
          </w:p>
        </w:tc>
      </w:tr>
      <w:tr>
        <w:tblPrEx>
          <w:tblLayout w:type="fixed"/>
          <w:tblCellMar>
            <w:top w:w="0" w:type="dxa"/>
            <w:left w:w="108" w:type="dxa"/>
            <w:bottom w:w="0" w:type="dxa"/>
            <w:right w:w="108" w:type="dxa"/>
          </w:tblCellMar>
        </w:tblPrEx>
        <w:trPr>
          <w:trHeight w:val="540" w:hRule="atLeast"/>
        </w:trPr>
        <w:tc>
          <w:tcPr>
            <w:tcW w:w="86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小视频会议室与分会场</w:t>
            </w:r>
          </w:p>
        </w:tc>
        <w:tc>
          <w:tcPr>
            <w:tcW w:w="141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一体化高清终端</w:t>
            </w:r>
          </w:p>
        </w:tc>
        <w:tc>
          <w:tcPr>
            <w:tcW w:w="53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rFonts w:hint="eastAsia" w:ascii="宋体" w:hAnsi="宋体" w:cs="宋体"/>
                <w:kern w:val="0"/>
                <w:szCs w:val="21"/>
              </w:rPr>
              <w:t>※</w:t>
            </w:r>
            <w:r>
              <w:rPr>
                <w:rFonts w:hint="eastAsia" w:ascii="宋体" w:hAnsi="宋体" w:cs="宋体"/>
                <w:color w:val="000000"/>
                <w:kern w:val="0"/>
                <w:sz w:val="20"/>
                <w:szCs w:val="20"/>
              </w:rPr>
              <w:t>要求一体化高清终端与高清MCU、高清终端为同一品牌。</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2、所投产品应为一体化结构设计，集成编解码器，麦克风，摄像头等组件，方便安装部署（要求提供产品厂家官网参数加盖鲜章）。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3、所投产品应支持ITUT H.323通讯协议，支持IETF SIP协议。</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4、所投产品支持良好的视频处理能力，512Kbps带宽下实现1080P30帧图像格式编解码。宽带范围64Kbps-4Mbps。</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5、所投产品至少支持1路VGA和1路1080P30内置摄像机输入，支持2路内置MIC。</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6、所投产品应支持不少于两路视频输出，以实现在两个显示屏上同时观看主视频和辅流；所投产品支持第二路视频输入，以共享本地桌面给其它与会会场。</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7、所投产品应安装简单，一条线缆即可实现供电、网络连接、高清视频输出和外置麦克风的连接，易于安装维护。</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8、要求支持Wi-Fi热点与Wi-Fi客户端能实现终端无线接入网络的无线发送PPT等功能。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9、所投产品应支持H.264 HP、H.264 SVC等视频编解码协议（提供第三方权威检测报告证明）。</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10、所投产品应支持1080P 25/30帧，720P 50/60帧，720P 30帧等视频图像格式编解码。</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11、所投产品应支持G.711, G.722, G.722.1, G.722.1.C, G.728, AAC-LD等音频协议，或其它20KHZ以上频宽的立体声音频协议。</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12、所投产品支持H.239和BFCP双流，支持主辅流同时达到1080P分辨率。</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13、所投产品支持H.235加密协议、支持TLS/SRTP加密协议等（要求提供产品厂家官网参数加盖鲜章）。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14、</w:t>
            </w:r>
            <w:r>
              <w:rPr>
                <w:rFonts w:hint="eastAsia" w:ascii="宋体" w:hAnsi="宋体" w:cs="宋体"/>
                <w:kern w:val="0"/>
                <w:szCs w:val="21"/>
              </w:rPr>
              <w:t>※</w:t>
            </w:r>
            <w:r>
              <w:rPr>
                <w:rFonts w:hint="eastAsia" w:ascii="宋体" w:hAnsi="宋体" w:cs="宋体"/>
                <w:color w:val="000000"/>
                <w:kern w:val="0"/>
                <w:sz w:val="20"/>
                <w:szCs w:val="20"/>
              </w:rPr>
              <w:t>所投产品支持IPv4和IPv6双协议栈（要求提供产品厂家官网参数加盖鲜章）。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15、所投产品支持主席会控功能，申请主席后能够实现广播场、观看会场、添加/删除会场、静闭音、设置多画面、结束会议等功能。</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16、所投产品标配摄像机支持1080P30帧图像格式，支持不少于12倍光学变焦，支持不少于30个摄像机预置位；（要求提供产品厂家官网参数加盖鲜章）。</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17、所投产品支持通过USB接口导入配置，方便设备的安装部署。</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18、</w:t>
            </w:r>
            <w:r>
              <w:rPr>
                <w:rFonts w:hint="eastAsia" w:ascii="宋体" w:hAnsi="宋体" w:cs="宋体"/>
                <w:kern w:val="0"/>
                <w:szCs w:val="21"/>
              </w:rPr>
              <w:t>※</w:t>
            </w:r>
            <w:r>
              <w:rPr>
                <w:rFonts w:hint="eastAsia" w:ascii="宋体" w:hAnsi="宋体" w:cs="宋体"/>
                <w:kern w:val="0"/>
                <w:sz w:val="20"/>
                <w:szCs w:val="20"/>
              </w:rPr>
              <w:t>所投产品支持语音呼叫功能（提供第三方权威检测报告证明）。</w:t>
            </w:r>
            <w:r>
              <w:rPr>
                <w:rFonts w:hint="eastAsia" w:ascii="宋体" w:hAnsi="宋体" w:cs="宋体"/>
                <w:kern w:val="0"/>
                <w:sz w:val="20"/>
                <w:szCs w:val="20"/>
              </w:rPr>
              <w:br w:type="textWrapping"/>
            </w:r>
            <w:r>
              <w:rPr>
                <w:rFonts w:hint="eastAsia" w:ascii="宋体" w:hAnsi="宋体" w:cs="宋体"/>
                <w:color w:val="000000"/>
                <w:kern w:val="0"/>
                <w:sz w:val="20"/>
                <w:szCs w:val="20"/>
              </w:rPr>
              <w:t>19、所投产品支持VGA环回功能，方便设备的安装部署。</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20、所投产品可选配外置无线数字麦克风，麦克风拾音半径不小于5米，麦克风和会议终端同品牌。</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21、所投产品支持前端板显示IP地址、会议号码等。</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22、要求终端具有并提供中国电信入网、CCC等证书</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配置3年维保</w:t>
            </w:r>
          </w:p>
        </w:tc>
      </w:tr>
      <w:tr>
        <w:tblPrEx>
          <w:tblLayout w:type="fixed"/>
          <w:tblCellMar>
            <w:top w:w="0" w:type="dxa"/>
            <w:left w:w="108" w:type="dxa"/>
            <w:bottom w:w="0" w:type="dxa"/>
            <w:right w:w="108" w:type="dxa"/>
          </w:tblCellMar>
        </w:tblPrEx>
        <w:trPr>
          <w:trHeight w:val="540" w:hRule="atLeast"/>
        </w:trPr>
        <w:tc>
          <w:tcPr>
            <w:tcW w:w="86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全向数字麦克风</w:t>
            </w:r>
          </w:p>
        </w:tc>
        <w:tc>
          <w:tcPr>
            <w:tcW w:w="5387"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w:t>
            </w:r>
            <w:r>
              <w:rPr>
                <w:rFonts w:hint="eastAsia" w:ascii="宋体" w:hAnsi="宋体" w:cs="宋体"/>
                <w:kern w:val="0"/>
                <w:szCs w:val="21"/>
              </w:rPr>
              <w:t>※</w:t>
            </w:r>
            <w:r>
              <w:rPr>
                <w:rFonts w:hint="eastAsia" w:ascii="宋体" w:hAnsi="宋体" w:cs="宋体"/>
                <w:color w:val="000000"/>
                <w:kern w:val="0"/>
                <w:sz w:val="20"/>
                <w:szCs w:val="20"/>
              </w:rPr>
              <w:t>与MCU和终端与为同一品牌</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2、支持360度全向拾音方向</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3、支持6米拾音范围</w:t>
            </w:r>
            <w:r>
              <w:rPr>
                <w:rFonts w:hint="eastAsia" w:ascii="宋体" w:hAnsi="宋体" w:cs="宋体"/>
                <w:color w:val="000000"/>
                <w:kern w:val="0"/>
                <w:sz w:val="20"/>
                <w:szCs w:val="20"/>
              </w:rPr>
              <w:br w:type="textWrapping"/>
            </w:r>
            <w:r>
              <w:rPr>
                <w:rFonts w:hint="eastAsia" w:ascii="宋体" w:hAnsi="宋体" w:cs="宋体"/>
                <w:color w:val="000000"/>
                <w:kern w:val="0"/>
                <w:sz w:val="20"/>
                <w:szCs w:val="20"/>
              </w:rPr>
              <w:t>4、支持G.711、G.722与AAL-LD等音频协议</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42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配置3年维保</w:t>
            </w:r>
          </w:p>
        </w:tc>
      </w:tr>
      <w:tr>
        <w:tblPrEx>
          <w:tblLayout w:type="fixed"/>
          <w:tblCellMar>
            <w:top w:w="0" w:type="dxa"/>
            <w:left w:w="108" w:type="dxa"/>
            <w:bottom w:w="0" w:type="dxa"/>
            <w:right w:w="108" w:type="dxa"/>
          </w:tblCellMar>
        </w:tblPrEx>
        <w:trPr>
          <w:trHeight w:val="540" w:hRule="atLeast"/>
        </w:trPr>
        <w:tc>
          <w:tcPr>
            <w:tcW w:w="866" w:type="dxa"/>
            <w:vMerge w:val="restart"/>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r>
              <w:rPr>
                <w:rFonts w:hint="eastAsia" w:ascii="宋体" w:hAnsi="宋体" w:cs="宋体"/>
                <w:kern w:val="0"/>
                <w:sz w:val="20"/>
                <w:szCs w:val="20"/>
              </w:rPr>
              <w:t>显示设备</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会议平板</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sz w:val="20"/>
                <w:szCs w:val="20"/>
              </w:rPr>
              <w:t>触摸屏：红外触摸屏，显示屏类型：单屏LED，显示屏尺寸：86英寸，音响内置音箱（2×10W立体环绕声），接口：VGA，HDMI*3，RJ45，PC-Audio，操作系统：Android 4.4.3，存储存储容量：32GB ROM，系统内存：2G RAM，分辨率3840x2160，亮度330cd/㎡，对比度1200:1，响应时间＜15ms，可视面积1895.04×1065.96mm，可视角度178/178°，色彩16.7M，背光灯寿命30000小时</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3197" w:hRule="atLeast"/>
        </w:trPr>
        <w:tc>
          <w:tcPr>
            <w:tcW w:w="86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投影仪</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sz w:val="20"/>
                <w:szCs w:val="20"/>
              </w:rPr>
            </w:pPr>
            <w:r>
              <w:rPr>
                <w:rFonts w:hint="eastAsia" w:ascii="宋体" w:hAnsi="宋体" w:cs="宋体"/>
                <w:sz w:val="20"/>
                <w:szCs w:val="20"/>
              </w:rPr>
              <w:t>投影技术：LCD，技术规格：0.64英寸液晶面板×3，投影亮度：5000流明或以上，标准分辨率：1920×1200，变焦方式：手动变焦，变焦比：1.5倍变焦，投影比：1.5:1 至 2.2:1，灯泡规格：280 W超高压汞灯，灯泡寿命：大于3000 H，投影距离：1.02-7.62mm，投影尺寸：40-300 英寸，屏幕比例：16:10，梯形校正：±°30垂直 ±°20水平，扫描频率：水平 19 kHz 至 92 kHz 垂直 48 Hz 至 92 Hz，视频兼容性：480/60i、576/50i、480/60p、576/50p、720/60p、720/50p、1080/60i、1080/50i 下列各项仅适用于数字信号； 1080/60p、1080/50p、1080/24p，输入端子：输入 A RGB /Y PB PR 输入接口： 迷你 D-sub 15 针（母） 输入 B/输入 C HDMI 输入接头： HDMI 19 针，支持 HDCP S-VIDEO 输入 S 视频输入接头： Mini DIN 4 针 视频输入 视频输入接口：拾音插孔，输出端子：监视器输出接口*6： 迷你 D-sub 15 针（母），控制端子：远程控制 RS-232C 连接器： D-sub 9 针（公） LAN RJ45，10BASE-T/100BASE-TX USB A 型 USB B 型</w:t>
            </w:r>
          </w:p>
          <w:p>
            <w:pPr>
              <w:widowControl/>
              <w:jc w:val="left"/>
              <w:rPr>
                <w:rFonts w:ascii="宋体" w:hAnsi="宋体" w:cs="宋体"/>
                <w:color w:val="000000"/>
                <w:kern w:val="0"/>
                <w:sz w:val="20"/>
                <w:szCs w:val="20"/>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液晶电视机</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sz w:val="20"/>
                <w:szCs w:val="20"/>
              </w:rPr>
            </w:pPr>
            <w:r>
              <w:rPr>
                <w:rFonts w:hint="eastAsia" w:ascii="宋体" w:hAnsi="宋体" w:cs="宋体"/>
                <w:sz w:val="20"/>
                <w:szCs w:val="20"/>
              </w:rPr>
              <w:t>屏幕尺寸：55英寸，屏幕分辨率：超高清4K（3840x2160），屏幕比例：16:9，屏幕等级A+，LED背光源，背光方式：直下式，刷屏率：60HZ，扫描方式：逐行扫描，支持格式：2160p（高清）。</w:t>
            </w:r>
          </w:p>
          <w:p>
            <w:pPr>
              <w:widowControl/>
              <w:jc w:val="left"/>
              <w:rPr>
                <w:rFonts w:ascii="宋体" w:hAnsi="宋体" w:cs="宋体"/>
                <w:sz w:val="20"/>
                <w:szCs w:val="20"/>
              </w:rPr>
            </w:pPr>
            <w:r>
              <w:rPr>
                <w:rFonts w:hint="eastAsia" w:ascii="宋体" w:hAnsi="宋体" w:cs="宋体"/>
                <w:sz w:val="20"/>
                <w:szCs w:val="20"/>
              </w:rPr>
              <w:t>智能电视，支持HDR显示，CPU：Cortex-A73×2（64位），VPU：5核+12核协处理器，GPU：Mali450×5+2D图形处理器*1，内部存储空间：2GB DDR4运行内存+16G缓存，多声道功能：环绕声，扬声器类型：辐射方向向后/向下，输出功率：8W*2，1组USB2.0接口，1组USB3.0接口，2组HDMI2.0接口，支持RBG、数字RF、模拟RF接口，USB支持视频格式：AVS/MP4/MPEG-1/MPEG-2/VP8，USB支持音频格式：MP3/MPEG1/MPEG2，USB支持图片格式：JPEG/PNG，工作电压（v）：220v，</w:t>
            </w:r>
            <w:r>
              <w:rPr>
                <w:rFonts w:ascii="宋体" w:hAnsi="宋体" w:cs="宋体"/>
                <w:sz w:val="20"/>
                <w:szCs w:val="20"/>
              </w:rPr>
              <w:t>支持WIFI</w:t>
            </w:r>
            <w:r>
              <w:rPr>
                <w:rFonts w:hint="eastAsia" w:ascii="宋体" w:hAnsi="宋体" w:cs="宋体"/>
                <w:sz w:val="20"/>
                <w:szCs w:val="20"/>
              </w:rPr>
              <w:t>、</w:t>
            </w:r>
            <w:r>
              <w:rPr>
                <w:rFonts w:ascii="宋体" w:hAnsi="宋体" w:cs="宋体"/>
                <w:sz w:val="20"/>
                <w:szCs w:val="20"/>
              </w:rPr>
              <w:t>DLNA</w:t>
            </w:r>
          </w:p>
          <w:p>
            <w:pPr>
              <w:widowControl/>
              <w:jc w:val="left"/>
              <w:rPr>
                <w:rFonts w:ascii="宋体" w:hAnsi="宋体" w:cs="宋体"/>
                <w:color w:val="000000"/>
                <w:kern w:val="0"/>
                <w:sz w:val="20"/>
                <w:szCs w:val="20"/>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kern w:val="0"/>
                <w:sz w:val="20"/>
                <w:szCs w:val="20"/>
              </w:rPr>
            </w:pPr>
            <w:r>
              <w:rPr>
                <w:rFonts w:hint="eastAsia" w:ascii="宋体" w:hAnsi="宋体" w:cs="宋体"/>
                <w:kern w:val="0"/>
                <w:sz w:val="20"/>
                <w:szCs w:val="20"/>
              </w:rPr>
              <w:t xml:space="preserve"> 数字会议发言系统</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数字会议主机(带摄像跟踪）</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1、主控机与会议系统单元的数字控制及声音信号采用同一电缆传送（八芯）</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2、可独立运作或外接电脑结合软件同步联动操作</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3、脱离电脑时可具有下列几个功能：会议讨论、自动跟踪摄像</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4、具三种会务模式：开放模式（FREE）、先进先出（FIFO）、限制发言（LIMIT）</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5、可直接选择显示文字种类功能：中文简体/中文繁体/英文</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6、具有主席模式选择功能：可以选主席专用/主席普通；具有自动关机选择功能：可选自动关机有/无</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7、面板具有LCD液晶显示屏。122×32点阵显示会议模式。面板上具有功能键、旋钮供系统调节或设定之用</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8、单一主机具四组主端连接64套会议单元。并具有负载及短路保护功能。增加扩展设备可实现250台会议单元同时使用</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9、具3组音频信号输出端子，可外接录音或音响设备</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10、频率响应：100Hz—18KHz：总谐波失真：在100Hz—18KHz会议系统声音输出小于0.1%</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11、具有RS232连接口可外接电脑和中控控制</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12、具有摄像跟踪模块，可实现自动摄像跟踪功能</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13、功耗：400W,采用AC220V供电</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continue"/>
            <w:tcBorders>
              <w:left w:val="single" w:color="auto"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带显示屏便携式主席单元</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麦克风具有发言键与指示灯，可控制/指示本机状态</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单指向性，具防气爆音功能，配有防风防护罩</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具主席优先控制按键，可启动系统提示音提醒出席人员注意，可设永久终止或暂停终止所有发言代表麦克风的发言状态</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系统中主席单元数量不受限制，并可置于回路中任意位置</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系统中主席单元不受限制功能的限制</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可绕式电容麦克风杆，并具有发言指示光环</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麦克风灵敏度高</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单元由系统主机供电，输入电压18V属安全范围</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单元采用8芯线“T”型连接</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话筒具有三键表决功能</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具有自动视像跟踪功能</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配一条麦克风单元连接线</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符合国际会议设备电器认证标准（IEC 60914）</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液晶显示，简、繁、英三种语言可选</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技术参数：</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频率响应：50-16kHz</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灵敏度：-42dB±2dB</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参考授话距离：15cm-50cm</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咪管长度：390mm</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只</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带显示屏便携式代表单元</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麦克风具有发言键与指示灯，可控制/指示本机状态</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单指向性，具防气爆音功能，配有防风防护罩</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可绕式电容麦克风杆，并具有发言指示光环</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麦克风灵敏度高</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单元由系统主机供电，输入电压18V属安全范围</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单元采用8芯线“T”型连接</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话筒具有三键表决功能</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具有自动视像跟踪功能</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配一条麦克风单元连接线</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符合国际会议设备电器认证标准（IEC 60914）</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液晶显示，简、繁、英三种语言可选</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技术参数：</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频率响应：50-16kHz</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灵敏度：-42dB±2dB</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参考授话距离：15cm-50cm</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咪管长度：390mm</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只</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34</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kern w:val="0"/>
                <w:sz w:val="20"/>
                <w:szCs w:val="20"/>
              </w:rPr>
            </w:pPr>
            <w:r>
              <w:rPr>
                <w:rFonts w:hint="eastAsia" w:ascii="宋体" w:hAnsi="宋体" w:cs="宋体"/>
                <w:kern w:val="0"/>
                <w:sz w:val="20"/>
                <w:szCs w:val="20"/>
              </w:rPr>
              <w:t>音响扩声系统</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数字音频矩阵（8*8）</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采用独特的处理算法 ，主机套具备抗干扰，无啸叫，等核心算法技术，支持24小时不间断工作 </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高性能浮点DSP处理芯片；</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48kHz A/D、D/A转换， 最高可达96kHz取样率</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8通道平衡输入音频通道</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8通道支持MI C输入</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每个MIC输入支持48V幻象供电</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8个平衡音频输出通道</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8通道自适应反馈消除功能 (AFC)，具有12个抑制点。</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8通道自动混音,带AGC功能</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内置声压级控制功能（SPL）</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有摄像跟踪代码输出，便于通过第三方中控实现摄像联动功能</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输入每通道：前级放大、噪声门、3段参量均衡、高通滤波器、自动混音台</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输出每通道： 8段参量均衡、分频器、高低通滤波器、限幅器、延时器</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开放RS- 232实现中控控制</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电脑网络连接设备，可软件设置参数和调试。</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支持8组场景预设功能 </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技术规格：</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音频输入 8路平衡输入，凤凰插头</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最大输入增益： 54dBu</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输入阻抗 20k Ω balance，10k Ω unbalance</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共模抑制比(CMRR) 75dBu @ +20dBu , 60Hz</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前置放大等效输入噪声(EI N) &lt;-125 dBu, 2 2Hz - 22kHz</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幻象电源 DC 48V</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音频输出 8路平衡线路电平，凤凰插头</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最大输出电平 20 dBu</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输出阻抗 100 Ω平衡</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DSP处理能力 3648MIPS/2746MFLOPS </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采样频率/量化 48 kHz，24Bi t ADC，24Bi t DAC</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频率响应 20 Hz – 20 kHz, + /- 0. 5 dB</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动态范围 110 dB，ADC, DAC</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总谐波失真  ≤0.005% @1kHz，+4dBu</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信道间串扰 &gt;-80 dB @ 1 kHz, 典 型</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设备尺寸WxDxH 1U，485 mm x 260mm x 44mm</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电源 AC 110V~230V AC，50Hz /60Hz</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工作环境 最大环境操作温度0℃至40℃</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continue"/>
            <w:tcBorders>
              <w:left w:val="single" w:color="auto"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铝合金音柱音箱-主扩</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采用一体化铝合金箱体，结构紧凑，外观精致高档。</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音质优美，音声甜美，人声还原好，特别适合语言扩声场所。</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安装方面，可采用吊装、壁装等方式。</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黑色圆孔防尘钢网罩，原装neutrik插头，自带防雨冒。</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适用范围:会议室、报告厅、多功能厅、礼堂、学校、餐厅等。</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额定功率:160 W</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额定阻抗: 8ohms </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频率范围:150Hz-19KHz</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灵敏度(1m/1W)) : 95dB</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最大声压级:121dB</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结构特点 　</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箱体材料:高档铝合金</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箱体面网:黑色圆孔防尘钢网</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表面漆:黑色环保砂纹耐磨油漆</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产品尺寸 (W*D*H) : 136*161*496（mm)</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净重(Kg) : 6.6Kg</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只</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continue"/>
            <w:tcBorders>
              <w:left w:val="single" w:color="auto"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吸顶音箱-辅助</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装配防火等级的金属后箱</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经UL2043认证，可在通风场地使用</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经UL1480-5认证，可用于消防传信系统</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前置开关，可选择8 ohm或70/100V运行模式</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配有吊顶安装或吸顶安装所需的安装件</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额定阻抗：8Ω</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灵敏度 (2.83V @ 1m)：89dB</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频率响应 +/-6dB 装有后罩：110 - 18kHz</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驱动单元 (低音 / 高音)：110mm / -</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建议放大器要求：10-100W</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特性：UL2043 &amp; UL1480-5 认证 / 8Ohm or 70V: 4w, 8w, 15w, 30w / 100V: 8w, 16w, 30w</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产品外部尺寸 (Diameter / Depth) :220mm (8.66in.) / 110mm (4.33in.)</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切口尺寸 (Diameter)：196mm (7.71in.)</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安装深度：- / 107mm (4.21in.)</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只</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continue"/>
            <w:tcBorders>
              <w:left w:val="single" w:color="auto"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2通道数字功放</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1U超薄的体积；表面拉丝处理，简洁时尚的外观,；D类电路设计,效率达到了90%；</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声音清澈明亮；遂道式的散热功能,各种保护设计，满足各类中小型场所扩音的需求</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输出功率(8Ω):2×250W</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输出功率(4Ω):2×400W</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输入阻抗:20KΩ（balance）/10kΩ（unbalance）</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频率响应:20Hz～20KHz +3/-3dB</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总谐失真:0.05%</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转换速度:40V/usec</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信噪比:90dB</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通道隔离度:＞1000dB@8Ω 1KHz</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高度:1U</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输入灵敏度:1V</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净重(kg):3.9</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外型尺寸:485×510×50mm</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continue"/>
            <w:tcBorders>
              <w:left w:val="single" w:color="auto"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自动反馈抑制器</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D-221全自动反馈抑制器具有自动检测现场啸叫点功能,通过DSP系统对声音进行过滤、低音补偿、自动混音、智能高速反馈处理.，全数字化最大限度消除回输。同时使用多个话筒时,自动适应声学环境,无需调试，快速校正功能,保证音质,减少延时，高中低三档输入电平选择、防止峰值输入失真，有效增加话筒拾音距离20-60CM.</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功能特点：</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 超高速的自动反馈控制</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 增加话筒拾音距离20-60CM.</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 传声增益提升6dB-12dB</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 每个通道设有3个滤波点</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 增加余量和降低本体噪声</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 双核全自动智能设置活动滤波器</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 XLR卡侬插口和6.3插口的输入和输出连接</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 莲花插口的背景输入</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continue"/>
            <w:tcBorders>
              <w:left w:val="single" w:color="auto"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双手持无线话筒</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采用D-PLL射频稳定技术，频率精准、工作稳定可靠</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采用专业级音频压缩-扩展技术，噪音小，尾音小、动态范围更大</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先进的音码调制锁定功能，能够更好地避开干扰和消除开关机冲击噪声</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具有独立的输出（XLR）和混合（6.3mm）输出，方便连接音频处理、功放设备</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采用最新红外线自动对频（IR）与自动选频（AFS）技术，设定和操作更简便；</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可任意选配手咪、头戴、领夹。</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频率范围: 780MHz-830MHz</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频率稳定度:±0.001%</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动态范围: 100db</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最大偏移:±50KHZ</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综合信噪比: &gt;105db</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综合失真：≤0.5%</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天线接入： TNC/50Ω@1KHz</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灵敏度： 12dBuV(80db S/N)</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灵敏度调节范围： 12-32dBuV</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杂散抑制：≥75db</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最大输出电平： +10dbv</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供电方式：直流12V 400mA输入</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输出功率： 高功率30MW，低功率3MW</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供电： 2节5号1.5V碱性电池</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电池寿命： 正常功率发射时，可使用超过8小时</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套</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8路电源时序器</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单路功率：2000W。</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主电缆规格：3*6平方电缆线，长度1.2米。</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8路供电输出，每路输出AC～220V（13A），采用万能插座，适用各种类型插头。</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标准的中控控制接口：RS-232控制方式；软件可设置相邻两路之间开关时间。</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19英寸，工艺结构合理美观，1U标准机箱。</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输出电压:220V/50Hz</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总容量:30A</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每组最大输出电流:13A</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受控电源:8组</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每组延迟时间:1s</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外部控制:RS232</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开关类型:按钮式轻触开关</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总重量:4.5Kg</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尺寸:480mm×48mm×210mm（WxHxD）</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电源:AC90-260V /50～60Hz</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kern w:val="0"/>
                <w:sz w:val="20"/>
                <w:szCs w:val="20"/>
              </w:rPr>
            </w:pPr>
            <w:r>
              <w:rPr>
                <w:rFonts w:hint="eastAsia" w:ascii="宋体" w:hAnsi="宋体" w:cs="宋体"/>
                <w:kern w:val="0"/>
                <w:sz w:val="20"/>
                <w:szCs w:val="20"/>
              </w:rPr>
              <w:t>中央控制系统</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分布式智能控制系统</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1、32位ARM Cortex-M3 CPU，320MHz操作频率；</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2、512M的Flash存储器；</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3、64M数据存储器；</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4、8路com，串口速率600~115200bps，支持RS-232/485和以太网之间的数据双向透明传输，可以让串行设备立即联接网络；</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5、每个com口均同步支持多波特率并发RS-232/485协议内容；</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6、8路IR，支持IR设备和以太网之间的数据通讯；</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7、1路以太网通讯接口，支持多达10个TCP/UDP连接；</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8、1路HS-NET接口，支持NET总线设备扩展，包含8路电源控制接口、音量及调光模块；</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9、灵活的串口数据分帧设置，满足用户各种分包需要。</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continue"/>
            <w:tcBorders>
              <w:top w:val="nil"/>
              <w:left w:val="single" w:color="auto" w:sz="4" w:space="0"/>
              <w:bottom w:val="nil"/>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8路网络电源控制接口</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1、内设8个大电流继电器，最大电流值20A，最大负载能力2200W/路，总负载能力8000W；</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2、内置DIP地址码开关；</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3、每个单路继电器均带一对常开常闭触点；</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 xml:space="preserve">4、内置8个强制应急拨码开关； </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5、机架或壁挂安装方式；</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6、自带零、地接线排，易于安装与连接；</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7、支持RS-232/485通讯，可方便地与第三方控制器兼容</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8、1路以太网通讯接口，支持多达10个TCP/UDP连接；</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9、前面板带LED电流显示；</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10、支持过压、过流保护，确保过流、过压时的设备安全；</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11、支持能耗统计与管理，支持继电器开光状态检测与查询。</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12、控制电动屏幕的上升、下降；</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13、电动窗帘的打开、关闭；</w:t>
            </w:r>
          </w:p>
          <w:p>
            <w:pPr>
              <w:widowControl/>
              <w:jc w:val="left"/>
              <w:rPr>
                <w:rFonts w:ascii="宋体" w:hAnsi="宋体" w:cs="宋体"/>
                <w:color w:val="000000"/>
                <w:kern w:val="0"/>
                <w:sz w:val="20"/>
                <w:szCs w:val="20"/>
              </w:rPr>
            </w:pPr>
            <w:r>
              <w:rPr>
                <w:rFonts w:hint="eastAsia" w:ascii="宋体" w:hAnsi="宋体" w:cs="宋体"/>
                <w:color w:val="000000"/>
                <w:kern w:val="0"/>
                <w:sz w:val="20"/>
                <w:szCs w:val="20"/>
              </w:rPr>
              <w:t>14、日光灯的打开及关闭</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vMerge w:val="continue"/>
            <w:tcBorders>
              <w:top w:val="nil"/>
              <w:left w:val="single" w:color="auto" w:sz="4" w:space="0"/>
              <w:bottom w:val="nil"/>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WiFi版平板电脑</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iPad mini,32GB WiFi版</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台</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866" w:type="dxa"/>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系统软件设计与联调</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提供订制的、满足用户要求与特色的集中控制系统控制界面设计及程序编写软件，使系统在最优化的情况下运行。</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套</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540" w:hRule="atLeast"/>
        </w:trPr>
        <w:tc>
          <w:tcPr>
            <w:tcW w:w="228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0"/>
                <w:szCs w:val="20"/>
              </w:rPr>
            </w:pPr>
            <w:r>
              <w:rPr>
                <w:rFonts w:hint="eastAsia" w:ascii="宋体" w:hAnsi="宋体" w:cs="宋体"/>
                <w:kern w:val="0"/>
                <w:sz w:val="20"/>
                <w:szCs w:val="20"/>
              </w:rPr>
              <w:t>会议室音响等配件</w:t>
            </w:r>
          </w:p>
        </w:tc>
        <w:tc>
          <w:tcPr>
            <w:tcW w:w="538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1个大会议室与1个小会议室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套</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p>
        </w:tc>
      </w:tr>
    </w:tbl>
    <w:p>
      <w:pPr>
        <w:spacing w:line="300" w:lineRule="auto"/>
        <w:rPr>
          <w:rFonts w:ascii="宋体" w:hAnsi="宋体" w:cs="宋体"/>
          <w:b/>
          <w:bCs/>
          <w:kern w:val="0"/>
          <w:sz w:val="18"/>
          <w:szCs w:val="18"/>
        </w:rPr>
      </w:pPr>
    </w:p>
    <w:p>
      <w:pPr>
        <w:spacing w:line="300" w:lineRule="auto"/>
        <w:rPr>
          <w:rFonts w:ascii="华文中宋" w:hAnsi="华文中宋" w:eastAsia="华文中宋"/>
          <w:sz w:val="20"/>
          <w:szCs w:val="18"/>
        </w:rPr>
      </w:pPr>
    </w:p>
    <w:sectPr>
      <w:headerReference r:id="rId3" w:type="default"/>
      <w:footerReference r:id="rId5" w:type="default"/>
      <w:headerReference r:id="rId4" w:type="even"/>
      <w:footerReference r:id="rId6" w:type="even"/>
      <w:pgSz w:w="11906" w:h="16838"/>
      <w:pgMar w:top="1440" w:right="1418" w:bottom="1440" w:left="1418"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auto"/>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金梅草">
    <w:panose1 w:val="0201060900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19"/>
      </w:rPr>
    </w:pPr>
    <w:r>
      <w:rPr>
        <w:rStyle w:val="19"/>
      </w:rPr>
      <w:fldChar w:fldCharType="begin"/>
    </w:r>
    <w:r>
      <w:rPr>
        <w:rStyle w:val="19"/>
      </w:rPr>
      <w:instrText xml:space="preserve">PAGE  </w:instrText>
    </w:r>
    <w:r>
      <w:rPr>
        <w:rStyle w:val="19"/>
      </w:rPr>
      <w:fldChar w:fldCharType="separate"/>
    </w:r>
    <w:r>
      <w:rPr>
        <w:rStyle w:val="19"/>
      </w:rPr>
      <w:t>8</w:t>
    </w:r>
    <w:r>
      <w:rPr>
        <w:rStyle w:val="19"/>
      </w:rPr>
      <w:fldChar w:fldCharType="end"/>
    </w:r>
  </w:p>
  <w:p>
    <w:pPr>
      <w:pStyle w:val="1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19"/>
      </w:rPr>
    </w:pPr>
    <w:r>
      <w:rPr>
        <w:rStyle w:val="19"/>
      </w:rPr>
      <w:fldChar w:fldCharType="begin"/>
    </w:r>
    <w:r>
      <w:rPr>
        <w:rStyle w:val="19"/>
      </w:rPr>
      <w:instrText xml:space="preserve">PAGE  </w:instrText>
    </w:r>
    <w:r>
      <w:rPr>
        <w:rStyle w:val="19"/>
      </w:rPr>
      <w:fldChar w:fldCharType="end"/>
    </w:r>
  </w:p>
  <w:p>
    <w:pPr>
      <w:pStyle w:val="1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6" w:space="0"/>
      </w:pBdr>
      <w:ind w:right="360" w:firstLine="450" w:firstLineChars="250"/>
      <w:jc w:val="both"/>
    </w:pPr>
    <w:r>
      <w:rPr>
        <w:rFonts w:hint="eastAsia"/>
      </w:rPr>
      <w:t>重庆能投渝新能源有限公司高清视频会议系统　竞争性比选文件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right" w:y="1"/>
      <w:rPr>
        <w:rStyle w:val="19"/>
      </w:rPr>
    </w:pPr>
    <w:r>
      <w:rPr>
        <w:rStyle w:val="19"/>
      </w:rPr>
      <w:fldChar w:fldCharType="begin"/>
    </w:r>
    <w:r>
      <w:rPr>
        <w:rStyle w:val="19"/>
      </w:rPr>
      <w:instrText xml:space="preserve">PAGE  </w:instrText>
    </w:r>
    <w:r>
      <w:rPr>
        <w:rStyle w:val="19"/>
      </w:rPr>
      <w:fldChar w:fldCharType="end"/>
    </w:r>
  </w:p>
  <w:p>
    <w:pPr>
      <w:pStyle w:val="14"/>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5539A8"/>
    <w:multiLevelType w:val="singleLevel"/>
    <w:tmpl w:val="5B5539A8"/>
    <w:lvl w:ilvl="0" w:tentative="0">
      <w:start w:val="1"/>
      <w:numFmt w:val="decimal"/>
      <w:suff w:val="nothing"/>
      <w:lvlText w:val="%1、"/>
      <w:lvlJc w:val="left"/>
    </w:lvl>
  </w:abstractNum>
  <w:abstractNum w:abstractNumId="1">
    <w:nsid w:val="614850D7"/>
    <w:multiLevelType w:val="multilevel"/>
    <w:tmpl w:val="614850D7"/>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A5EEA"/>
    <w:rsid w:val="00000391"/>
    <w:rsid w:val="00002380"/>
    <w:rsid w:val="0000441D"/>
    <w:rsid w:val="0001028D"/>
    <w:rsid w:val="00011380"/>
    <w:rsid w:val="00011441"/>
    <w:rsid w:val="00013F58"/>
    <w:rsid w:val="00016A39"/>
    <w:rsid w:val="00020910"/>
    <w:rsid w:val="00022BE8"/>
    <w:rsid w:val="00022D34"/>
    <w:rsid w:val="0002367E"/>
    <w:rsid w:val="00023FA5"/>
    <w:rsid w:val="00024861"/>
    <w:rsid w:val="000277C4"/>
    <w:rsid w:val="00027CBD"/>
    <w:rsid w:val="00027F69"/>
    <w:rsid w:val="00030461"/>
    <w:rsid w:val="00031396"/>
    <w:rsid w:val="00033F92"/>
    <w:rsid w:val="00037097"/>
    <w:rsid w:val="000401A5"/>
    <w:rsid w:val="000413D4"/>
    <w:rsid w:val="000423FD"/>
    <w:rsid w:val="000425D1"/>
    <w:rsid w:val="00052010"/>
    <w:rsid w:val="00055FA8"/>
    <w:rsid w:val="000573C5"/>
    <w:rsid w:val="00061BF7"/>
    <w:rsid w:val="000636B6"/>
    <w:rsid w:val="000659EB"/>
    <w:rsid w:val="000727CB"/>
    <w:rsid w:val="00081C54"/>
    <w:rsid w:val="00081C93"/>
    <w:rsid w:val="00082D01"/>
    <w:rsid w:val="00083169"/>
    <w:rsid w:val="00086026"/>
    <w:rsid w:val="00086040"/>
    <w:rsid w:val="00086385"/>
    <w:rsid w:val="000925D3"/>
    <w:rsid w:val="000944F6"/>
    <w:rsid w:val="00094677"/>
    <w:rsid w:val="00097BA9"/>
    <w:rsid w:val="00097C24"/>
    <w:rsid w:val="000A030E"/>
    <w:rsid w:val="000A4ADA"/>
    <w:rsid w:val="000B3AF0"/>
    <w:rsid w:val="000C0551"/>
    <w:rsid w:val="000C3693"/>
    <w:rsid w:val="000C458A"/>
    <w:rsid w:val="000C45BB"/>
    <w:rsid w:val="000C6E1E"/>
    <w:rsid w:val="000D2671"/>
    <w:rsid w:val="000D2972"/>
    <w:rsid w:val="000D58C6"/>
    <w:rsid w:val="000D6A3A"/>
    <w:rsid w:val="000D7F5B"/>
    <w:rsid w:val="000E1311"/>
    <w:rsid w:val="000E216B"/>
    <w:rsid w:val="000E24F5"/>
    <w:rsid w:val="000E25C7"/>
    <w:rsid w:val="000E4FEB"/>
    <w:rsid w:val="000E5C6F"/>
    <w:rsid w:val="000E7EA9"/>
    <w:rsid w:val="000F0D03"/>
    <w:rsid w:val="000F20D0"/>
    <w:rsid w:val="000F3044"/>
    <w:rsid w:val="000F587A"/>
    <w:rsid w:val="00103130"/>
    <w:rsid w:val="00115B40"/>
    <w:rsid w:val="00116785"/>
    <w:rsid w:val="00117A47"/>
    <w:rsid w:val="00117EBD"/>
    <w:rsid w:val="001215C5"/>
    <w:rsid w:val="00123BE5"/>
    <w:rsid w:val="001251A9"/>
    <w:rsid w:val="00132875"/>
    <w:rsid w:val="00134766"/>
    <w:rsid w:val="00137453"/>
    <w:rsid w:val="001426F1"/>
    <w:rsid w:val="0014270C"/>
    <w:rsid w:val="00150558"/>
    <w:rsid w:val="00160D10"/>
    <w:rsid w:val="0016163E"/>
    <w:rsid w:val="001655C3"/>
    <w:rsid w:val="0017006B"/>
    <w:rsid w:val="00171404"/>
    <w:rsid w:val="00172C08"/>
    <w:rsid w:val="00174A02"/>
    <w:rsid w:val="00174B3B"/>
    <w:rsid w:val="001750A8"/>
    <w:rsid w:val="00176BB8"/>
    <w:rsid w:val="00176E56"/>
    <w:rsid w:val="00176F62"/>
    <w:rsid w:val="00181575"/>
    <w:rsid w:val="0018194C"/>
    <w:rsid w:val="00181FE5"/>
    <w:rsid w:val="001838E2"/>
    <w:rsid w:val="00183C29"/>
    <w:rsid w:val="00185B10"/>
    <w:rsid w:val="001862FE"/>
    <w:rsid w:val="00190DBB"/>
    <w:rsid w:val="00192F53"/>
    <w:rsid w:val="00194E2A"/>
    <w:rsid w:val="0019704C"/>
    <w:rsid w:val="001971EF"/>
    <w:rsid w:val="001A0102"/>
    <w:rsid w:val="001A2B47"/>
    <w:rsid w:val="001A5D02"/>
    <w:rsid w:val="001A61F0"/>
    <w:rsid w:val="001A764F"/>
    <w:rsid w:val="001A7D7B"/>
    <w:rsid w:val="001B0BD0"/>
    <w:rsid w:val="001B155E"/>
    <w:rsid w:val="001B6D70"/>
    <w:rsid w:val="001C26B0"/>
    <w:rsid w:val="001C365D"/>
    <w:rsid w:val="001C5D85"/>
    <w:rsid w:val="001D12DF"/>
    <w:rsid w:val="001D268E"/>
    <w:rsid w:val="001D2F15"/>
    <w:rsid w:val="001D5B02"/>
    <w:rsid w:val="001D5D71"/>
    <w:rsid w:val="001D5F56"/>
    <w:rsid w:val="001D6750"/>
    <w:rsid w:val="001D7101"/>
    <w:rsid w:val="001E0007"/>
    <w:rsid w:val="001E1A57"/>
    <w:rsid w:val="001E1EE5"/>
    <w:rsid w:val="001E6C11"/>
    <w:rsid w:val="001E6DEB"/>
    <w:rsid w:val="001F0A0D"/>
    <w:rsid w:val="001F2A32"/>
    <w:rsid w:val="001F3570"/>
    <w:rsid w:val="00201A88"/>
    <w:rsid w:val="00206BFD"/>
    <w:rsid w:val="00207C3A"/>
    <w:rsid w:val="00215816"/>
    <w:rsid w:val="00217241"/>
    <w:rsid w:val="002217DD"/>
    <w:rsid w:val="002220F1"/>
    <w:rsid w:val="00222E68"/>
    <w:rsid w:val="00227D5D"/>
    <w:rsid w:val="002316F7"/>
    <w:rsid w:val="00235247"/>
    <w:rsid w:val="0023691B"/>
    <w:rsid w:val="00243EF6"/>
    <w:rsid w:val="00244A4A"/>
    <w:rsid w:val="0024505B"/>
    <w:rsid w:val="00245484"/>
    <w:rsid w:val="00246C37"/>
    <w:rsid w:val="0025101B"/>
    <w:rsid w:val="002542F3"/>
    <w:rsid w:val="00264B65"/>
    <w:rsid w:val="00265249"/>
    <w:rsid w:val="0026674C"/>
    <w:rsid w:val="00270502"/>
    <w:rsid w:val="002728B5"/>
    <w:rsid w:val="00275ED9"/>
    <w:rsid w:val="002815BF"/>
    <w:rsid w:val="00282A70"/>
    <w:rsid w:val="002845F2"/>
    <w:rsid w:val="00284E45"/>
    <w:rsid w:val="002862E1"/>
    <w:rsid w:val="00287A04"/>
    <w:rsid w:val="00290509"/>
    <w:rsid w:val="002926CA"/>
    <w:rsid w:val="00292DDA"/>
    <w:rsid w:val="0029391E"/>
    <w:rsid w:val="00296419"/>
    <w:rsid w:val="002A128D"/>
    <w:rsid w:val="002A5707"/>
    <w:rsid w:val="002A5A3B"/>
    <w:rsid w:val="002A5BDF"/>
    <w:rsid w:val="002B553E"/>
    <w:rsid w:val="002B5CDD"/>
    <w:rsid w:val="002B7447"/>
    <w:rsid w:val="002C0209"/>
    <w:rsid w:val="002C062E"/>
    <w:rsid w:val="002C1643"/>
    <w:rsid w:val="002C1CEE"/>
    <w:rsid w:val="002C2A45"/>
    <w:rsid w:val="002C2A68"/>
    <w:rsid w:val="002C3F84"/>
    <w:rsid w:val="002D0131"/>
    <w:rsid w:val="002E2586"/>
    <w:rsid w:val="002E3F97"/>
    <w:rsid w:val="002E44E4"/>
    <w:rsid w:val="002E5EE3"/>
    <w:rsid w:val="002E6580"/>
    <w:rsid w:val="002E7822"/>
    <w:rsid w:val="002F14B8"/>
    <w:rsid w:val="002F5B61"/>
    <w:rsid w:val="002F60A0"/>
    <w:rsid w:val="002F6ACD"/>
    <w:rsid w:val="002F727D"/>
    <w:rsid w:val="002F75BF"/>
    <w:rsid w:val="00301A4A"/>
    <w:rsid w:val="00303F6B"/>
    <w:rsid w:val="003062F5"/>
    <w:rsid w:val="003065C5"/>
    <w:rsid w:val="00310D3D"/>
    <w:rsid w:val="00314028"/>
    <w:rsid w:val="00316316"/>
    <w:rsid w:val="00316442"/>
    <w:rsid w:val="00320024"/>
    <w:rsid w:val="00322AC7"/>
    <w:rsid w:val="00323D56"/>
    <w:rsid w:val="00324DC3"/>
    <w:rsid w:val="00325801"/>
    <w:rsid w:val="00325E27"/>
    <w:rsid w:val="00325E94"/>
    <w:rsid w:val="00327E44"/>
    <w:rsid w:val="00330F76"/>
    <w:rsid w:val="00332CCE"/>
    <w:rsid w:val="00333A62"/>
    <w:rsid w:val="00336BE5"/>
    <w:rsid w:val="00343938"/>
    <w:rsid w:val="00344301"/>
    <w:rsid w:val="00344A8A"/>
    <w:rsid w:val="00344C02"/>
    <w:rsid w:val="003462B5"/>
    <w:rsid w:val="0034731A"/>
    <w:rsid w:val="00350518"/>
    <w:rsid w:val="00353A9D"/>
    <w:rsid w:val="00353EE8"/>
    <w:rsid w:val="00354085"/>
    <w:rsid w:val="003557AF"/>
    <w:rsid w:val="00355D41"/>
    <w:rsid w:val="003560AA"/>
    <w:rsid w:val="00360D8C"/>
    <w:rsid w:val="003669C8"/>
    <w:rsid w:val="00372FC7"/>
    <w:rsid w:val="00373ACD"/>
    <w:rsid w:val="003820EA"/>
    <w:rsid w:val="003822EA"/>
    <w:rsid w:val="003823BA"/>
    <w:rsid w:val="003852DB"/>
    <w:rsid w:val="003853FE"/>
    <w:rsid w:val="00385BDD"/>
    <w:rsid w:val="00385FEC"/>
    <w:rsid w:val="003916E5"/>
    <w:rsid w:val="00393AA7"/>
    <w:rsid w:val="003963C8"/>
    <w:rsid w:val="003978F5"/>
    <w:rsid w:val="003A5120"/>
    <w:rsid w:val="003A5EDF"/>
    <w:rsid w:val="003B36E6"/>
    <w:rsid w:val="003B5783"/>
    <w:rsid w:val="003B7E56"/>
    <w:rsid w:val="003C0F9C"/>
    <w:rsid w:val="003C1217"/>
    <w:rsid w:val="003C12A6"/>
    <w:rsid w:val="003C5C37"/>
    <w:rsid w:val="003D010D"/>
    <w:rsid w:val="003D01C7"/>
    <w:rsid w:val="003D0978"/>
    <w:rsid w:val="003D3519"/>
    <w:rsid w:val="003D4455"/>
    <w:rsid w:val="003D4C63"/>
    <w:rsid w:val="003D6121"/>
    <w:rsid w:val="003E3680"/>
    <w:rsid w:val="003E7A08"/>
    <w:rsid w:val="003F4340"/>
    <w:rsid w:val="003F5FE3"/>
    <w:rsid w:val="003F7C88"/>
    <w:rsid w:val="00402734"/>
    <w:rsid w:val="00406160"/>
    <w:rsid w:val="0041189A"/>
    <w:rsid w:val="004122CE"/>
    <w:rsid w:val="004150C9"/>
    <w:rsid w:val="004169AC"/>
    <w:rsid w:val="00417055"/>
    <w:rsid w:val="00417416"/>
    <w:rsid w:val="0042051E"/>
    <w:rsid w:val="004215D6"/>
    <w:rsid w:val="00430F91"/>
    <w:rsid w:val="00434481"/>
    <w:rsid w:val="00435359"/>
    <w:rsid w:val="00444752"/>
    <w:rsid w:val="0044487C"/>
    <w:rsid w:val="00447E9F"/>
    <w:rsid w:val="00450A4E"/>
    <w:rsid w:val="00450E08"/>
    <w:rsid w:val="00451887"/>
    <w:rsid w:val="00452C3E"/>
    <w:rsid w:val="0045546C"/>
    <w:rsid w:val="00456F5A"/>
    <w:rsid w:val="00460824"/>
    <w:rsid w:val="00462DEC"/>
    <w:rsid w:val="0046577B"/>
    <w:rsid w:val="00465D12"/>
    <w:rsid w:val="00466FC3"/>
    <w:rsid w:val="00470C51"/>
    <w:rsid w:val="00470D60"/>
    <w:rsid w:val="00471005"/>
    <w:rsid w:val="004816DF"/>
    <w:rsid w:val="00481FC6"/>
    <w:rsid w:val="004823C2"/>
    <w:rsid w:val="00485290"/>
    <w:rsid w:val="00485DFF"/>
    <w:rsid w:val="00486BC1"/>
    <w:rsid w:val="00486BEC"/>
    <w:rsid w:val="0049253F"/>
    <w:rsid w:val="00492AE2"/>
    <w:rsid w:val="00496E74"/>
    <w:rsid w:val="004A03A6"/>
    <w:rsid w:val="004A0E3B"/>
    <w:rsid w:val="004A2305"/>
    <w:rsid w:val="004A3D07"/>
    <w:rsid w:val="004A4C79"/>
    <w:rsid w:val="004A5248"/>
    <w:rsid w:val="004A62E9"/>
    <w:rsid w:val="004A6EE7"/>
    <w:rsid w:val="004A6FA2"/>
    <w:rsid w:val="004B1676"/>
    <w:rsid w:val="004B3431"/>
    <w:rsid w:val="004B4FB0"/>
    <w:rsid w:val="004B607C"/>
    <w:rsid w:val="004C0B71"/>
    <w:rsid w:val="004C17DF"/>
    <w:rsid w:val="004C1C01"/>
    <w:rsid w:val="004C3F06"/>
    <w:rsid w:val="004C43ED"/>
    <w:rsid w:val="004D4D5A"/>
    <w:rsid w:val="004D50B6"/>
    <w:rsid w:val="004D619D"/>
    <w:rsid w:val="004D6969"/>
    <w:rsid w:val="004E2844"/>
    <w:rsid w:val="004E3DB3"/>
    <w:rsid w:val="004E4BA2"/>
    <w:rsid w:val="004E668F"/>
    <w:rsid w:val="004E6C7E"/>
    <w:rsid w:val="004E74D8"/>
    <w:rsid w:val="004F3057"/>
    <w:rsid w:val="004F3DD9"/>
    <w:rsid w:val="004F6A13"/>
    <w:rsid w:val="004F6EF6"/>
    <w:rsid w:val="004F7455"/>
    <w:rsid w:val="005028F2"/>
    <w:rsid w:val="00502912"/>
    <w:rsid w:val="00504246"/>
    <w:rsid w:val="005048C3"/>
    <w:rsid w:val="0050596D"/>
    <w:rsid w:val="00506CE0"/>
    <w:rsid w:val="00513915"/>
    <w:rsid w:val="005204F4"/>
    <w:rsid w:val="00523354"/>
    <w:rsid w:val="00524819"/>
    <w:rsid w:val="00532162"/>
    <w:rsid w:val="00533C20"/>
    <w:rsid w:val="0053729B"/>
    <w:rsid w:val="00537635"/>
    <w:rsid w:val="00537958"/>
    <w:rsid w:val="00541D7F"/>
    <w:rsid w:val="00542C39"/>
    <w:rsid w:val="00543282"/>
    <w:rsid w:val="00543779"/>
    <w:rsid w:val="00543AD2"/>
    <w:rsid w:val="00545562"/>
    <w:rsid w:val="00546C55"/>
    <w:rsid w:val="00547772"/>
    <w:rsid w:val="00550D76"/>
    <w:rsid w:val="0055125F"/>
    <w:rsid w:val="00551C82"/>
    <w:rsid w:val="005526FC"/>
    <w:rsid w:val="0055506F"/>
    <w:rsid w:val="00555563"/>
    <w:rsid w:val="00556994"/>
    <w:rsid w:val="00557392"/>
    <w:rsid w:val="00563EE2"/>
    <w:rsid w:val="00570E40"/>
    <w:rsid w:val="00570EAF"/>
    <w:rsid w:val="005717C3"/>
    <w:rsid w:val="0057671E"/>
    <w:rsid w:val="005771A0"/>
    <w:rsid w:val="0058149E"/>
    <w:rsid w:val="00590A99"/>
    <w:rsid w:val="005914F8"/>
    <w:rsid w:val="00593526"/>
    <w:rsid w:val="005962CB"/>
    <w:rsid w:val="005A0196"/>
    <w:rsid w:val="005A0429"/>
    <w:rsid w:val="005A07A0"/>
    <w:rsid w:val="005A1BF9"/>
    <w:rsid w:val="005A2994"/>
    <w:rsid w:val="005A2EEE"/>
    <w:rsid w:val="005A307E"/>
    <w:rsid w:val="005A341F"/>
    <w:rsid w:val="005B079E"/>
    <w:rsid w:val="005B0A10"/>
    <w:rsid w:val="005B5813"/>
    <w:rsid w:val="005C153D"/>
    <w:rsid w:val="005C1CB1"/>
    <w:rsid w:val="005C29FD"/>
    <w:rsid w:val="005C49DA"/>
    <w:rsid w:val="005C5D23"/>
    <w:rsid w:val="005D0662"/>
    <w:rsid w:val="005D23B0"/>
    <w:rsid w:val="005E0392"/>
    <w:rsid w:val="005E0E4B"/>
    <w:rsid w:val="005E11D6"/>
    <w:rsid w:val="005E122F"/>
    <w:rsid w:val="005E1676"/>
    <w:rsid w:val="005E1A55"/>
    <w:rsid w:val="005E69ED"/>
    <w:rsid w:val="005F4F51"/>
    <w:rsid w:val="005F51F3"/>
    <w:rsid w:val="005F5ECE"/>
    <w:rsid w:val="005F6E0D"/>
    <w:rsid w:val="005F7175"/>
    <w:rsid w:val="006001AD"/>
    <w:rsid w:val="00601D92"/>
    <w:rsid w:val="006052E5"/>
    <w:rsid w:val="00607468"/>
    <w:rsid w:val="00611120"/>
    <w:rsid w:val="00614F4C"/>
    <w:rsid w:val="00615226"/>
    <w:rsid w:val="0062358B"/>
    <w:rsid w:val="006237BB"/>
    <w:rsid w:val="00624BAB"/>
    <w:rsid w:val="00625126"/>
    <w:rsid w:val="00625A4C"/>
    <w:rsid w:val="006263BA"/>
    <w:rsid w:val="00630086"/>
    <w:rsid w:val="006305C1"/>
    <w:rsid w:val="00630758"/>
    <w:rsid w:val="006418BE"/>
    <w:rsid w:val="00643917"/>
    <w:rsid w:val="006443B3"/>
    <w:rsid w:val="00645BD7"/>
    <w:rsid w:val="00647A90"/>
    <w:rsid w:val="0065544C"/>
    <w:rsid w:val="006576B9"/>
    <w:rsid w:val="00661F27"/>
    <w:rsid w:val="0066546F"/>
    <w:rsid w:val="006664B1"/>
    <w:rsid w:val="00670348"/>
    <w:rsid w:val="00671DA0"/>
    <w:rsid w:val="006729AB"/>
    <w:rsid w:val="00673AAA"/>
    <w:rsid w:val="00675EB2"/>
    <w:rsid w:val="006802E6"/>
    <w:rsid w:val="00681012"/>
    <w:rsid w:val="00684C85"/>
    <w:rsid w:val="006855EC"/>
    <w:rsid w:val="006867FD"/>
    <w:rsid w:val="0068757D"/>
    <w:rsid w:val="0069297A"/>
    <w:rsid w:val="0069507C"/>
    <w:rsid w:val="00697694"/>
    <w:rsid w:val="006A33B1"/>
    <w:rsid w:val="006A3F0A"/>
    <w:rsid w:val="006A447B"/>
    <w:rsid w:val="006A4D43"/>
    <w:rsid w:val="006A4D62"/>
    <w:rsid w:val="006A4F7E"/>
    <w:rsid w:val="006A77BE"/>
    <w:rsid w:val="006B40C2"/>
    <w:rsid w:val="006B4369"/>
    <w:rsid w:val="006B5A82"/>
    <w:rsid w:val="006B5C65"/>
    <w:rsid w:val="006B6E68"/>
    <w:rsid w:val="006C10F3"/>
    <w:rsid w:val="006C1884"/>
    <w:rsid w:val="006C4100"/>
    <w:rsid w:val="006C4291"/>
    <w:rsid w:val="006C7BBA"/>
    <w:rsid w:val="006D04E3"/>
    <w:rsid w:val="006D0B03"/>
    <w:rsid w:val="006D491B"/>
    <w:rsid w:val="006D76ED"/>
    <w:rsid w:val="006E1B62"/>
    <w:rsid w:val="006E3D3C"/>
    <w:rsid w:val="006E46F3"/>
    <w:rsid w:val="006E7D95"/>
    <w:rsid w:val="006F6C3A"/>
    <w:rsid w:val="006F7BCA"/>
    <w:rsid w:val="0070135B"/>
    <w:rsid w:val="00710752"/>
    <w:rsid w:val="00710829"/>
    <w:rsid w:val="007168D1"/>
    <w:rsid w:val="00726CA1"/>
    <w:rsid w:val="00726F53"/>
    <w:rsid w:val="00727343"/>
    <w:rsid w:val="0072780B"/>
    <w:rsid w:val="00727C82"/>
    <w:rsid w:val="00731BD1"/>
    <w:rsid w:val="007326D5"/>
    <w:rsid w:val="007332C6"/>
    <w:rsid w:val="007350B1"/>
    <w:rsid w:val="007350F2"/>
    <w:rsid w:val="00740A10"/>
    <w:rsid w:val="00742782"/>
    <w:rsid w:val="00743F74"/>
    <w:rsid w:val="00744D1B"/>
    <w:rsid w:val="00745265"/>
    <w:rsid w:val="007453E4"/>
    <w:rsid w:val="00745FF2"/>
    <w:rsid w:val="00746686"/>
    <w:rsid w:val="00747B84"/>
    <w:rsid w:val="00750A74"/>
    <w:rsid w:val="007513B1"/>
    <w:rsid w:val="00752C71"/>
    <w:rsid w:val="00752F0C"/>
    <w:rsid w:val="00753327"/>
    <w:rsid w:val="00753885"/>
    <w:rsid w:val="0075503E"/>
    <w:rsid w:val="0075633F"/>
    <w:rsid w:val="00757E5D"/>
    <w:rsid w:val="0076164B"/>
    <w:rsid w:val="007626FE"/>
    <w:rsid w:val="007676EF"/>
    <w:rsid w:val="007679D5"/>
    <w:rsid w:val="00771441"/>
    <w:rsid w:val="007730B6"/>
    <w:rsid w:val="00775274"/>
    <w:rsid w:val="007827DB"/>
    <w:rsid w:val="00783E1E"/>
    <w:rsid w:val="00790B84"/>
    <w:rsid w:val="0079218E"/>
    <w:rsid w:val="0079426D"/>
    <w:rsid w:val="007945D9"/>
    <w:rsid w:val="00794DB2"/>
    <w:rsid w:val="007A0693"/>
    <w:rsid w:val="007A15E8"/>
    <w:rsid w:val="007A2B24"/>
    <w:rsid w:val="007A355D"/>
    <w:rsid w:val="007A4C38"/>
    <w:rsid w:val="007A5141"/>
    <w:rsid w:val="007A574D"/>
    <w:rsid w:val="007A7539"/>
    <w:rsid w:val="007A76EB"/>
    <w:rsid w:val="007A7BBA"/>
    <w:rsid w:val="007B0377"/>
    <w:rsid w:val="007B037C"/>
    <w:rsid w:val="007B1191"/>
    <w:rsid w:val="007B2018"/>
    <w:rsid w:val="007B3A39"/>
    <w:rsid w:val="007B3BA4"/>
    <w:rsid w:val="007B4579"/>
    <w:rsid w:val="007C14CC"/>
    <w:rsid w:val="007C3AD1"/>
    <w:rsid w:val="007C6257"/>
    <w:rsid w:val="007C62D1"/>
    <w:rsid w:val="007D4362"/>
    <w:rsid w:val="007D7D79"/>
    <w:rsid w:val="007E1674"/>
    <w:rsid w:val="007F1D5D"/>
    <w:rsid w:val="007F6217"/>
    <w:rsid w:val="00800224"/>
    <w:rsid w:val="008004C3"/>
    <w:rsid w:val="00804429"/>
    <w:rsid w:val="008069DD"/>
    <w:rsid w:val="00806B07"/>
    <w:rsid w:val="00810628"/>
    <w:rsid w:val="0081564B"/>
    <w:rsid w:val="00815876"/>
    <w:rsid w:val="00821A77"/>
    <w:rsid w:val="00825851"/>
    <w:rsid w:val="00825FD3"/>
    <w:rsid w:val="00826BDF"/>
    <w:rsid w:val="00834950"/>
    <w:rsid w:val="00835FCF"/>
    <w:rsid w:val="008418E3"/>
    <w:rsid w:val="00841D3C"/>
    <w:rsid w:val="00843360"/>
    <w:rsid w:val="00847DFC"/>
    <w:rsid w:val="0085040B"/>
    <w:rsid w:val="008527CF"/>
    <w:rsid w:val="0085295A"/>
    <w:rsid w:val="00853630"/>
    <w:rsid w:val="00855997"/>
    <w:rsid w:val="00855BA7"/>
    <w:rsid w:val="0085663E"/>
    <w:rsid w:val="00862252"/>
    <w:rsid w:val="00862685"/>
    <w:rsid w:val="00862769"/>
    <w:rsid w:val="00862A29"/>
    <w:rsid w:val="00862FFA"/>
    <w:rsid w:val="00865B39"/>
    <w:rsid w:val="0086758C"/>
    <w:rsid w:val="0087702A"/>
    <w:rsid w:val="00877E8B"/>
    <w:rsid w:val="008815A7"/>
    <w:rsid w:val="00882DBA"/>
    <w:rsid w:val="00885328"/>
    <w:rsid w:val="00886225"/>
    <w:rsid w:val="00887B7E"/>
    <w:rsid w:val="0089019B"/>
    <w:rsid w:val="00892435"/>
    <w:rsid w:val="00893137"/>
    <w:rsid w:val="0089431B"/>
    <w:rsid w:val="008945E6"/>
    <w:rsid w:val="008954BE"/>
    <w:rsid w:val="00897BFB"/>
    <w:rsid w:val="008A0A3D"/>
    <w:rsid w:val="008A3C5F"/>
    <w:rsid w:val="008A442C"/>
    <w:rsid w:val="008A5A01"/>
    <w:rsid w:val="008A6F9A"/>
    <w:rsid w:val="008B3E3E"/>
    <w:rsid w:val="008B4BF9"/>
    <w:rsid w:val="008B57E8"/>
    <w:rsid w:val="008C097C"/>
    <w:rsid w:val="008C351E"/>
    <w:rsid w:val="008C3543"/>
    <w:rsid w:val="008C5735"/>
    <w:rsid w:val="008C61E8"/>
    <w:rsid w:val="008D0873"/>
    <w:rsid w:val="008D12B0"/>
    <w:rsid w:val="008D1F53"/>
    <w:rsid w:val="008D6584"/>
    <w:rsid w:val="008E1DFB"/>
    <w:rsid w:val="008E34B0"/>
    <w:rsid w:val="008E6401"/>
    <w:rsid w:val="008F1404"/>
    <w:rsid w:val="008F1A40"/>
    <w:rsid w:val="008F2371"/>
    <w:rsid w:val="008F517C"/>
    <w:rsid w:val="008F58FC"/>
    <w:rsid w:val="008F696D"/>
    <w:rsid w:val="008F759D"/>
    <w:rsid w:val="00903C5B"/>
    <w:rsid w:val="00905D3A"/>
    <w:rsid w:val="009061A3"/>
    <w:rsid w:val="00910D75"/>
    <w:rsid w:val="00910D76"/>
    <w:rsid w:val="009123E8"/>
    <w:rsid w:val="0091570F"/>
    <w:rsid w:val="0092166D"/>
    <w:rsid w:val="00922A62"/>
    <w:rsid w:val="0092332D"/>
    <w:rsid w:val="00923AB6"/>
    <w:rsid w:val="009258D0"/>
    <w:rsid w:val="00926144"/>
    <w:rsid w:val="0092687F"/>
    <w:rsid w:val="00932483"/>
    <w:rsid w:val="009330E8"/>
    <w:rsid w:val="009345DC"/>
    <w:rsid w:val="00934F7D"/>
    <w:rsid w:val="00935580"/>
    <w:rsid w:val="00936144"/>
    <w:rsid w:val="00936596"/>
    <w:rsid w:val="00936ABD"/>
    <w:rsid w:val="00936C26"/>
    <w:rsid w:val="00945D09"/>
    <w:rsid w:val="0094645E"/>
    <w:rsid w:val="00947D90"/>
    <w:rsid w:val="009518FF"/>
    <w:rsid w:val="009527FE"/>
    <w:rsid w:val="00957331"/>
    <w:rsid w:val="00957A28"/>
    <w:rsid w:val="009610F4"/>
    <w:rsid w:val="00961461"/>
    <w:rsid w:val="00962DA2"/>
    <w:rsid w:val="00964A8E"/>
    <w:rsid w:val="00965D04"/>
    <w:rsid w:val="0096632B"/>
    <w:rsid w:val="00970148"/>
    <w:rsid w:val="00970316"/>
    <w:rsid w:val="00970641"/>
    <w:rsid w:val="00970C09"/>
    <w:rsid w:val="00971E7C"/>
    <w:rsid w:val="009724DD"/>
    <w:rsid w:val="00975562"/>
    <w:rsid w:val="00975737"/>
    <w:rsid w:val="00977785"/>
    <w:rsid w:val="00977AD1"/>
    <w:rsid w:val="009828A7"/>
    <w:rsid w:val="0098520C"/>
    <w:rsid w:val="00987ECF"/>
    <w:rsid w:val="009903EA"/>
    <w:rsid w:val="00993EE6"/>
    <w:rsid w:val="009A0A25"/>
    <w:rsid w:val="009A2546"/>
    <w:rsid w:val="009A2DAE"/>
    <w:rsid w:val="009A43D7"/>
    <w:rsid w:val="009A46BE"/>
    <w:rsid w:val="009A5A6B"/>
    <w:rsid w:val="009A5EEA"/>
    <w:rsid w:val="009B4AE5"/>
    <w:rsid w:val="009B4C9C"/>
    <w:rsid w:val="009B5802"/>
    <w:rsid w:val="009B72BD"/>
    <w:rsid w:val="009C5CF6"/>
    <w:rsid w:val="009C5FE8"/>
    <w:rsid w:val="009D064D"/>
    <w:rsid w:val="009D118F"/>
    <w:rsid w:val="009D2CE5"/>
    <w:rsid w:val="009D5DAD"/>
    <w:rsid w:val="009D66AA"/>
    <w:rsid w:val="009E05EB"/>
    <w:rsid w:val="009E0EFE"/>
    <w:rsid w:val="009E354D"/>
    <w:rsid w:val="009E7DF9"/>
    <w:rsid w:val="009F3009"/>
    <w:rsid w:val="009F6AAA"/>
    <w:rsid w:val="009F701B"/>
    <w:rsid w:val="00A03B0E"/>
    <w:rsid w:val="00A058D7"/>
    <w:rsid w:val="00A0611F"/>
    <w:rsid w:val="00A064FE"/>
    <w:rsid w:val="00A16F68"/>
    <w:rsid w:val="00A21EDB"/>
    <w:rsid w:val="00A22638"/>
    <w:rsid w:val="00A23940"/>
    <w:rsid w:val="00A25312"/>
    <w:rsid w:val="00A27E3A"/>
    <w:rsid w:val="00A3073E"/>
    <w:rsid w:val="00A33560"/>
    <w:rsid w:val="00A339F8"/>
    <w:rsid w:val="00A35C64"/>
    <w:rsid w:val="00A37BB5"/>
    <w:rsid w:val="00A41EE5"/>
    <w:rsid w:val="00A5050F"/>
    <w:rsid w:val="00A545FD"/>
    <w:rsid w:val="00A547C8"/>
    <w:rsid w:val="00A5710E"/>
    <w:rsid w:val="00A57126"/>
    <w:rsid w:val="00A603D4"/>
    <w:rsid w:val="00A61494"/>
    <w:rsid w:val="00A625F9"/>
    <w:rsid w:val="00A6439E"/>
    <w:rsid w:val="00A64816"/>
    <w:rsid w:val="00A65979"/>
    <w:rsid w:val="00A65ECE"/>
    <w:rsid w:val="00A66480"/>
    <w:rsid w:val="00A66930"/>
    <w:rsid w:val="00A67A68"/>
    <w:rsid w:val="00A708CA"/>
    <w:rsid w:val="00A714B5"/>
    <w:rsid w:val="00A733C8"/>
    <w:rsid w:val="00A768DE"/>
    <w:rsid w:val="00A77D2C"/>
    <w:rsid w:val="00A80129"/>
    <w:rsid w:val="00A822A0"/>
    <w:rsid w:val="00A839CD"/>
    <w:rsid w:val="00A83E5F"/>
    <w:rsid w:val="00A85656"/>
    <w:rsid w:val="00A857FD"/>
    <w:rsid w:val="00A910DF"/>
    <w:rsid w:val="00A9164A"/>
    <w:rsid w:val="00A92E7D"/>
    <w:rsid w:val="00A94D57"/>
    <w:rsid w:val="00A9553C"/>
    <w:rsid w:val="00A973E4"/>
    <w:rsid w:val="00AA15DA"/>
    <w:rsid w:val="00AA342D"/>
    <w:rsid w:val="00AA6CF8"/>
    <w:rsid w:val="00AA7B52"/>
    <w:rsid w:val="00AB164C"/>
    <w:rsid w:val="00AB28C5"/>
    <w:rsid w:val="00AB4D83"/>
    <w:rsid w:val="00AB6DB0"/>
    <w:rsid w:val="00AB7642"/>
    <w:rsid w:val="00AC0A58"/>
    <w:rsid w:val="00AC2B31"/>
    <w:rsid w:val="00AC3047"/>
    <w:rsid w:val="00AC4FDD"/>
    <w:rsid w:val="00AC63BA"/>
    <w:rsid w:val="00AD0C53"/>
    <w:rsid w:val="00AD135D"/>
    <w:rsid w:val="00AD16FD"/>
    <w:rsid w:val="00AD49E7"/>
    <w:rsid w:val="00AD68A6"/>
    <w:rsid w:val="00AD77B9"/>
    <w:rsid w:val="00AE0667"/>
    <w:rsid w:val="00AE47D4"/>
    <w:rsid w:val="00AE7121"/>
    <w:rsid w:val="00AF572D"/>
    <w:rsid w:val="00B00BE8"/>
    <w:rsid w:val="00B032B3"/>
    <w:rsid w:val="00B06BCB"/>
    <w:rsid w:val="00B07A93"/>
    <w:rsid w:val="00B11CB3"/>
    <w:rsid w:val="00B20A39"/>
    <w:rsid w:val="00B22B76"/>
    <w:rsid w:val="00B22ED8"/>
    <w:rsid w:val="00B2357A"/>
    <w:rsid w:val="00B24F60"/>
    <w:rsid w:val="00B25302"/>
    <w:rsid w:val="00B258B4"/>
    <w:rsid w:val="00B27C83"/>
    <w:rsid w:val="00B30246"/>
    <w:rsid w:val="00B33BF4"/>
    <w:rsid w:val="00B34C7C"/>
    <w:rsid w:val="00B40064"/>
    <w:rsid w:val="00B4443B"/>
    <w:rsid w:val="00B474FE"/>
    <w:rsid w:val="00B55027"/>
    <w:rsid w:val="00B62CEA"/>
    <w:rsid w:val="00B64FFA"/>
    <w:rsid w:val="00B668E5"/>
    <w:rsid w:val="00B67982"/>
    <w:rsid w:val="00B67CCC"/>
    <w:rsid w:val="00B71119"/>
    <w:rsid w:val="00B712CC"/>
    <w:rsid w:val="00B7153B"/>
    <w:rsid w:val="00B72119"/>
    <w:rsid w:val="00B724B2"/>
    <w:rsid w:val="00B7375F"/>
    <w:rsid w:val="00B73E20"/>
    <w:rsid w:val="00B80C37"/>
    <w:rsid w:val="00B81587"/>
    <w:rsid w:val="00B8204A"/>
    <w:rsid w:val="00B82C08"/>
    <w:rsid w:val="00B86518"/>
    <w:rsid w:val="00B91757"/>
    <w:rsid w:val="00B935C8"/>
    <w:rsid w:val="00B95168"/>
    <w:rsid w:val="00B977AB"/>
    <w:rsid w:val="00BA1369"/>
    <w:rsid w:val="00BB5099"/>
    <w:rsid w:val="00BC1BE8"/>
    <w:rsid w:val="00BC3306"/>
    <w:rsid w:val="00BC3F99"/>
    <w:rsid w:val="00BC4182"/>
    <w:rsid w:val="00BC6CFC"/>
    <w:rsid w:val="00BC7214"/>
    <w:rsid w:val="00BC78AE"/>
    <w:rsid w:val="00BC7B1E"/>
    <w:rsid w:val="00BD0BFF"/>
    <w:rsid w:val="00BD12C9"/>
    <w:rsid w:val="00BD2DB1"/>
    <w:rsid w:val="00BD3B54"/>
    <w:rsid w:val="00BD4638"/>
    <w:rsid w:val="00BD66AE"/>
    <w:rsid w:val="00BD7427"/>
    <w:rsid w:val="00BE5800"/>
    <w:rsid w:val="00BF2385"/>
    <w:rsid w:val="00BF3492"/>
    <w:rsid w:val="00BF52AF"/>
    <w:rsid w:val="00BF692C"/>
    <w:rsid w:val="00BF6BBB"/>
    <w:rsid w:val="00C02B84"/>
    <w:rsid w:val="00C07ED1"/>
    <w:rsid w:val="00C11AE8"/>
    <w:rsid w:val="00C11B21"/>
    <w:rsid w:val="00C11DB2"/>
    <w:rsid w:val="00C1282A"/>
    <w:rsid w:val="00C15184"/>
    <w:rsid w:val="00C153D4"/>
    <w:rsid w:val="00C16322"/>
    <w:rsid w:val="00C16BE3"/>
    <w:rsid w:val="00C1747E"/>
    <w:rsid w:val="00C20561"/>
    <w:rsid w:val="00C22E88"/>
    <w:rsid w:val="00C27864"/>
    <w:rsid w:val="00C30ACF"/>
    <w:rsid w:val="00C32A6C"/>
    <w:rsid w:val="00C3696A"/>
    <w:rsid w:val="00C37552"/>
    <w:rsid w:val="00C402F0"/>
    <w:rsid w:val="00C50573"/>
    <w:rsid w:val="00C528BD"/>
    <w:rsid w:val="00C53595"/>
    <w:rsid w:val="00C539B7"/>
    <w:rsid w:val="00C55452"/>
    <w:rsid w:val="00C55F35"/>
    <w:rsid w:val="00C565CD"/>
    <w:rsid w:val="00C577C8"/>
    <w:rsid w:val="00C578EE"/>
    <w:rsid w:val="00C61ABA"/>
    <w:rsid w:val="00C65C19"/>
    <w:rsid w:val="00C660C6"/>
    <w:rsid w:val="00C702D9"/>
    <w:rsid w:val="00C7111F"/>
    <w:rsid w:val="00C71E72"/>
    <w:rsid w:val="00C72C13"/>
    <w:rsid w:val="00C731B2"/>
    <w:rsid w:val="00C73A38"/>
    <w:rsid w:val="00C743F0"/>
    <w:rsid w:val="00C74E3D"/>
    <w:rsid w:val="00C80440"/>
    <w:rsid w:val="00C828AF"/>
    <w:rsid w:val="00C84E03"/>
    <w:rsid w:val="00C86DA7"/>
    <w:rsid w:val="00C910B3"/>
    <w:rsid w:val="00CA2032"/>
    <w:rsid w:val="00CA7663"/>
    <w:rsid w:val="00CA7E99"/>
    <w:rsid w:val="00CB133F"/>
    <w:rsid w:val="00CB341A"/>
    <w:rsid w:val="00CB40BD"/>
    <w:rsid w:val="00CC0EEC"/>
    <w:rsid w:val="00CC30FE"/>
    <w:rsid w:val="00CC68A7"/>
    <w:rsid w:val="00CC69BA"/>
    <w:rsid w:val="00CD0D8E"/>
    <w:rsid w:val="00CD61DC"/>
    <w:rsid w:val="00CD6D75"/>
    <w:rsid w:val="00CD7FEF"/>
    <w:rsid w:val="00CE002A"/>
    <w:rsid w:val="00CE1671"/>
    <w:rsid w:val="00CE1CF1"/>
    <w:rsid w:val="00CE39D9"/>
    <w:rsid w:val="00CE5012"/>
    <w:rsid w:val="00CE5191"/>
    <w:rsid w:val="00CE53AF"/>
    <w:rsid w:val="00CE664D"/>
    <w:rsid w:val="00CF1434"/>
    <w:rsid w:val="00CF68A4"/>
    <w:rsid w:val="00D00E2B"/>
    <w:rsid w:val="00D022B8"/>
    <w:rsid w:val="00D032F9"/>
    <w:rsid w:val="00D04403"/>
    <w:rsid w:val="00D04613"/>
    <w:rsid w:val="00D0584F"/>
    <w:rsid w:val="00D06C87"/>
    <w:rsid w:val="00D07384"/>
    <w:rsid w:val="00D11B7D"/>
    <w:rsid w:val="00D11E32"/>
    <w:rsid w:val="00D12129"/>
    <w:rsid w:val="00D1443C"/>
    <w:rsid w:val="00D146A7"/>
    <w:rsid w:val="00D14B0D"/>
    <w:rsid w:val="00D15B69"/>
    <w:rsid w:val="00D174DB"/>
    <w:rsid w:val="00D208F5"/>
    <w:rsid w:val="00D20986"/>
    <w:rsid w:val="00D21169"/>
    <w:rsid w:val="00D21F9A"/>
    <w:rsid w:val="00D221EF"/>
    <w:rsid w:val="00D24D67"/>
    <w:rsid w:val="00D25CF1"/>
    <w:rsid w:val="00D32662"/>
    <w:rsid w:val="00D40BE8"/>
    <w:rsid w:val="00D424FF"/>
    <w:rsid w:val="00D44A66"/>
    <w:rsid w:val="00D45038"/>
    <w:rsid w:val="00D475F1"/>
    <w:rsid w:val="00D501E0"/>
    <w:rsid w:val="00D50421"/>
    <w:rsid w:val="00D505D3"/>
    <w:rsid w:val="00D52D42"/>
    <w:rsid w:val="00D5393B"/>
    <w:rsid w:val="00D5646E"/>
    <w:rsid w:val="00D57AC1"/>
    <w:rsid w:val="00D62C08"/>
    <w:rsid w:val="00D63813"/>
    <w:rsid w:val="00D7033B"/>
    <w:rsid w:val="00D756AD"/>
    <w:rsid w:val="00D7785C"/>
    <w:rsid w:val="00D816F2"/>
    <w:rsid w:val="00D8194D"/>
    <w:rsid w:val="00D81DA6"/>
    <w:rsid w:val="00D82F09"/>
    <w:rsid w:val="00D83796"/>
    <w:rsid w:val="00D842B1"/>
    <w:rsid w:val="00D9346B"/>
    <w:rsid w:val="00D95801"/>
    <w:rsid w:val="00D9583D"/>
    <w:rsid w:val="00D958CB"/>
    <w:rsid w:val="00D971F1"/>
    <w:rsid w:val="00DA03D6"/>
    <w:rsid w:val="00DA1443"/>
    <w:rsid w:val="00DA1830"/>
    <w:rsid w:val="00DA1D1C"/>
    <w:rsid w:val="00DA4306"/>
    <w:rsid w:val="00DA7959"/>
    <w:rsid w:val="00DA7EDC"/>
    <w:rsid w:val="00DB0B7C"/>
    <w:rsid w:val="00DB682E"/>
    <w:rsid w:val="00DB7FBB"/>
    <w:rsid w:val="00DC23B2"/>
    <w:rsid w:val="00DC39F0"/>
    <w:rsid w:val="00DC5261"/>
    <w:rsid w:val="00DC7022"/>
    <w:rsid w:val="00DC7474"/>
    <w:rsid w:val="00DC7DA2"/>
    <w:rsid w:val="00DD0251"/>
    <w:rsid w:val="00DD5362"/>
    <w:rsid w:val="00DD6969"/>
    <w:rsid w:val="00DE4522"/>
    <w:rsid w:val="00DE52D6"/>
    <w:rsid w:val="00DE56D8"/>
    <w:rsid w:val="00DE7BB3"/>
    <w:rsid w:val="00DF2D94"/>
    <w:rsid w:val="00DF5CC4"/>
    <w:rsid w:val="00DF7910"/>
    <w:rsid w:val="00E011C0"/>
    <w:rsid w:val="00E03590"/>
    <w:rsid w:val="00E042B9"/>
    <w:rsid w:val="00E11026"/>
    <w:rsid w:val="00E11F3B"/>
    <w:rsid w:val="00E11FF0"/>
    <w:rsid w:val="00E12A1B"/>
    <w:rsid w:val="00E17BBC"/>
    <w:rsid w:val="00E17C92"/>
    <w:rsid w:val="00E214C9"/>
    <w:rsid w:val="00E35DD5"/>
    <w:rsid w:val="00E36289"/>
    <w:rsid w:val="00E36AA3"/>
    <w:rsid w:val="00E37A28"/>
    <w:rsid w:val="00E427C9"/>
    <w:rsid w:val="00E45425"/>
    <w:rsid w:val="00E5022E"/>
    <w:rsid w:val="00E50B51"/>
    <w:rsid w:val="00E53F80"/>
    <w:rsid w:val="00E5434E"/>
    <w:rsid w:val="00E55D9F"/>
    <w:rsid w:val="00E55E63"/>
    <w:rsid w:val="00E55F43"/>
    <w:rsid w:val="00E572E1"/>
    <w:rsid w:val="00E61095"/>
    <w:rsid w:val="00E635B5"/>
    <w:rsid w:val="00E66B55"/>
    <w:rsid w:val="00E72DAC"/>
    <w:rsid w:val="00E7395F"/>
    <w:rsid w:val="00E73B03"/>
    <w:rsid w:val="00E73DFA"/>
    <w:rsid w:val="00E876EF"/>
    <w:rsid w:val="00E878ED"/>
    <w:rsid w:val="00E90CAE"/>
    <w:rsid w:val="00E91367"/>
    <w:rsid w:val="00E91F10"/>
    <w:rsid w:val="00E92D96"/>
    <w:rsid w:val="00E93BD8"/>
    <w:rsid w:val="00EA0977"/>
    <w:rsid w:val="00EA29CC"/>
    <w:rsid w:val="00EA2CB8"/>
    <w:rsid w:val="00EA6DC1"/>
    <w:rsid w:val="00EB5C90"/>
    <w:rsid w:val="00EB6F12"/>
    <w:rsid w:val="00EC071E"/>
    <w:rsid w:val="00EC12A6"/>
    <w:rsid w:val="00EC1685"/>
    <w:rsid w:val="00EC254B"/>
    <w:rsid w:val="00EC5951"/>
    <w:rsid w:val="00EC6818"/>
    <w:rsid w:val="00EC7715"/>
    <w:rsid w:val="00ED31DD"/>
    <w:rsid w:val="00ED3A9D"/>
    <w:rsid w:val="00ED4540"/>
    <w:rsid w:val="00ED5AB3"/>
    <w:rsid w:val="00EE09CE"/>
    <w:rsid w:val="00EE0A1C"/>
    <w:rsid w:val="00EE17EA"/>
    <w:rsid w:val="00EE1AA1"/>
    <w:rsid w:val="00EE302C"/>
    <w:rsid w:val="00EE48A8"/>
    <w:rsid w:val="00EE5709"/>
    <w:rsid w:val="00EE5C8A"/>
    <w:rsid w:val="00EF2A50"/>
    <w:rsid w:val="00EF441C"/>
    <w:rsid w:val="00EF48DE"/>
    <w:rsid w:val="00EF6824"/>
    <w:rsid w:val="00EF71AC"/>
    <w:rsid w:val="00EF79A7"/>
    <w:rsid w:val="00F006D6"/>
    <w:rsid w:val="00F01CBB"/>
    <w:rsid w:val="00F029A9"/>
    <w:rsid w:val="00F050B7"/>
    <w:rsid w:val="00F0709A"/>
    <w:rsid w:val="00F13EA7"/>
    <w:rsid w:val="00F14CA1"/>
    <w:rsid w:val="00F17084"/>
    <w:rsid w:val="00F173E6"/>
    <w:rsid w:val="00F22FB9"/>
    <w:rsid w:val="00F231C7"/>
    <w:rsid w:val="00F23CFB"/>
    <w:rsid w:val="00F24D23"/>
    <w:rsid w:val="00F2557D"/>
    <w:rsid w:val="00F2643E"/>
    <w:rsid w:val="00F2652E"/>
    <w:rsid w:val="00F31E14"/>
    <w:rsid w:val="00F342F5"/>
    <w:rsid w:val="00F34A3B"/>
    <w:rsid w:val="00F35411"/>
    <w:rsid w:val="00F413ED"/>
    <w:rsid w:val="00F41F5F"/>
    <w:rsid w:val="00F43D1D"/>
    <w:rsid w:val="00F4494C"/>
    <w:rsid w:val="00F5432F"/>
    <w:rsid w:val="00F54FF3"/>
    <w:rsid w:val="00F5646C"/>
    <w:rsid w:val="00F60BCE"/>
    <w:rsid w:val="00F63B9F"/>
    <w:rsid w:val="00F6443A"/>
    <w:rsid w:val="00F66518"/>
    <w:rsid w:val="00F66883"/>
    <w:rsid w:val="00F711B0"/>
    <w:rsid w:val="00F72B04"/>
    <w:rsid w:val="00F7441F"/>
    <w:rsid w:val="00F754EE"/>
    <w:rsid w:val="00F807BF"/>
    <w:rsid w:val="00F8140B"/>
    <w:rsid w:val="00F8565D"/>
    <w:rsid w:val="00F85DC1"/>
    <w:rsid w:val="00F85F54"/>
    <w:rsid w:val="00F86B6A"/>
    <w:rsid w:val="00F9041F"/>
    <w:rsid w:val="00F91023"/>
    <w:rsid w:val="00F9135D"/>
    <w:rsid w:val="00F93C36"/>
    <w:rsid w:val="00F93C9F"/>
    <w:rsid w:val="00F95D6E"/>
    <w:rsid w:val="00FA001E"/>
    <w:rsid w:val="00FA2DFF"/>
    <w:rsid w:val="00FA2EF6"/>
    <w:rsid w:val="00FA3B31"/>
    <w:rsid w:val="00FA442D"/>
    <w:rsid w:val="00FA6854"/>
    <w:rsid w:val="00FA774D"/>
    <w:rsid w:val="00FB13A2"/>
    <w:rsid w:val="00FB285D"/>
    <w:rsid w:val="00FB3DFB"/>
    <w:rsid w:val="00FB40B4"/>
    <w:rsid w:val="00FB5BA3"/>
    <w:rsid w:val="00FC353D"/>
    <w:rsid w:val="00FC7871"/>
    <w:rsid w:val="00FD2CC8"/>
    <w:rsid w:val="00FD35CF"/>
    <w:rsid w:val="00FD7E34"/>
    <w:rsid w:val="00FE0219"/>
    <w:rsid w:val="00FE198C"/>
    <w:rsid w:val="00FE38CA"/>
    <w:rsid w:val="00FE5C7B"/>
    <w:rsid w:val="00FE7529"/>
    <w:rsid w:val="00FE7CEB"/>
    <w:rsid w:val="00FF4962"/>
    <w:rsid w:val="00FF66D2"/>
    <w:rsid w:val="1BA54992"/>
    <w:rsid w:val="6C902BB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name="annotation text"/>
    <w:lsdException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8"/>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3"/>
    <w:basedOn w:val="1"/>
    <w:next w:val="1"/>
    <w:qFormat/>
    <w:uiPriority w:val="0"/>
    <w:pPr>
      <w:keepNext/>
      <w:keepLines/>
      <w:spacing w:line="360" w:lineRule="auto"/>
      <w:outlineLvl w:val="2"/>
    </w:pPr>
    <w:rPr>
      <w:b/>
      <w:bCs/>
      <w:sz w:val="24"/>
      <w:szCs w:val="32"/>
    </w:rPr>
  </w:style>
  <w:style w:type="paragraph" w:styleId="4">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17">
    <w:name w:val="Default Paragraph Font"/>
    <w:unhideWhenUsed/>
    <w:qFormat/>
    <w:uiPriority w:val="1"/>
  </w:style>
  <w:style w:type="table" w:default="1" w:styleId="21">
    <w:name w:val="Normal Table"/>
    <w:unhideWhenUsed/>
    <w:qFormat/>
    <w:uiPriority w:val="99"/>
    <w:tblPr>
      <w:tblLayout w:type="fixed"/>
      <w:tblCellMar>
        <w:top w:w="0" w:type="dxa"/>
        <w:left w:w="108" w:type="dxa"/>
        <w:bottom w:w="0" w:type="dxa"/>
        <w:right w:w="108" w:type="dxa"/>
      </w:tblCellMar>
    </w:tblPr>
  </w:style>
  <w:style w:type="paragraph" w:styleId="5">
    <w:name w:val="annotation subject"/>
    <w:basedOn w:val="6"/>
    <w:next w:val="6"/>
    <w:semiHidden/>
    <w:qFormat/>
    <w:uiPriority w:val="0"/>
    <w:rPr>
      <w:b/>
      <w:bCs/>
    </w:rPr>
  </w:style>
  <w:style w:type="paragraph" w:styleId="6">
    <w:name w:val="annotation text"/>
    <w:basedOn w:val="1"/>
    <w:semiHidden/>
    <w:qFormat/>
    <w:uiPriority w:val="0"/>
    <w:pPr>
      <w:jc w:val="left"/>
    </w:pPr>
  </w:style>
  <w:style w:type="paragraph" w:styleId="7">
    <w:name w:val="Document Map"/>
    <w:basedOn w:val="1"/>
    <w:semiHidden/>
    <w:qFormat/>
    <w:uiPriority w:val="0"/>
    <w:pPr>
      <w:shd w:val="clear" w:color="auto" w:fill="000080"/>
    </w:pPr>
  </w:style>
  <w:style w:type="paragraph" w:styleId="8">
    <w:name w:val="Body Text Indent"/>
    <w:basedOn w:val="1"/>
    <w:qFormat/>
    <w:uiPriority w:val="0"/>
    <w:pPr>
      <w:ind w:firstLine="560" w:firstLineChars="200"/>
    </w:pPr>
    <w:rPr>
      <w:rFonts w:ascii="仿宋_GB2312" w:eastAsia="仿宋_GB2312"/>
      <w:sz w:val="28"/>
    </w:rPr>
  </w:style>
  <w:style w:type="paragraph" w:styleId="9">
    <w:name w:val="Plain Text"/>
    <w:basedOn w:val="1"/>
    <w:link w:val="25"/>
    <w:qFormat/>
    <w:uiPriority w:val="0"/>
    <w:pPr>
      <w:adjustRightInd w:val="0"/>
      <w:snapToGrid w:val="0"/>
      <w:spacing w:line="360" w:lineRule="auto"/>
    </w:pPr>
    <w:rPr>
      <w:rFonts w:ascii="宋体" w:hAnsi="Courier New"/>
      <w:szCs w:val="20"/>
    </w:rPr>
  </w:style>
  <w:style w:type="paragraph" w:styleId="10">
    <w:name w:val="Date"/>
    <w:basedOn w:val="1"/>
    <w:next w:val="1"/>
    <w:link w:val="27"/>
    <w:qFormat/>
    <w:uiPriority w:val="0"/>
    <w:pPr>
      <w:ind w:left="100" w:leftChars="2500"/>
    </w:pPr>
    <w:rPr>
      <w:rFonts w:eastAsia="仿宋_GB2312"/>
      <w:sz w:val="36"/>
    </w:rPr>
  </w:style>
  <w:style w:type="paragraph" w:styleId="11">
    <w:name w:val="Body Text Indent 2"/>
    <w:basedOn w:val="1"/>
    <w:uiPriority w:val="0"/>
    <w:pPr>
      <w:ind w:firstLine="420" w:firstLineChars="200"/>
    </w:pPr>
    <w:rPr>
      <w:rFonts w:ascii="宋体" w:hAnsi="宋体"/>
    </w:rPr>
  </w:style>
  <w:style w:type="paragraph" w:styleId="12">
    <w:name w:val="Balloon Text"/>
    <w:basedOn w:val="1"/>
    <w:semiHidden/>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6">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18">
    <w:name w:val="Strong"/>
    <w:qFormat/>
    <w:uiPriority w:val="0"/>
    <w:rPr>
      <w:b/>
      <w:bCs/>
    </w:rPr>
  </w:style>
  <w:style w:type="character" w:styleId="19">
    <w:name w:val="page number"/>
    <w:basedOn w:val="17"/>
    <w:qFormat/>
    <w:uiPriority w:val="0"/>
  </w:style>
  <w:style w:type="character" w:styleId="20">
    <w:name w:val="annotation reference"/>
    <w:semiHidden/>
    <w:qFormat/>
    <w:uiPriority w:val="0"/>
    <w:rPr>
      <w:sz w:val="21"/>
      <w:szCs w:val="21"/>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23">
    <w:name w:val="正文四号字"/>
    <w:basedOn w:val="1"/>
    <w:qFormat/>
    <w:uiPriority w:val="0"/>
    <w:pPr>
      <w:adjustRightInd w:val="0"/>
      <w:spacing w:line="312" w:lineRule="atLeast"/>
      <w:textAlignment w:val="baseline"/>
    </w:pPr>
    <w:rPr>
      <w:rFonts w:ascii="宋体"/>
      <w:kern w:val="0"/>
      <w:sz w:val="28"/>
      <w:szCs w:val="20"/>
    </w:rPr>
  </w:style>
  <w:style w:type="paragraph" w:customStyle="1" w:styleId="24">
    <w:name w:val="Char1 Char Char Char"/>
    <w:basedOn w:val="1"/>
    <w:qFormat/>
    <w:uiPriority w:val="0"/>
  </w:style>
  <w:style w:type="character" w:customStyle="1" w:styleId="25">
    <w:name w:val="纯文本 Char"/>
    <w:link w:val="9"/>
    <w:qFormat/>
    <w:uiPriority w:val="0"/>
    <w:rPr>
      <w:rFonts w:ascii="宋体" w:hAnsi="Courier New" w:eastAsia="宋体"/>
      <w:kern w:val="2"/>
      <w:sz w:val="21"/>
      <w:lang w:val="en-US" w:eastAsia="zh-CN" w:bidi="ar-SA"/>
    </w:rPr>
  </w:style>
  <w:style w:type="character" w:customStyle="1" w:styleId="26">
    <w:name w:val="Char Char2"/>
    <w:qFormat/>
    <w:locked/>
    <w:uiPriority w:val="0"/>
    <w:rPr>
      <w:rFonts w:ascii="宋体" w:hAnsi="Courier New" w:eastAsia="宋体"/>
      <w:kern w:val="2"/>
      <w:sz w:val="21"/>
      <w:lang w:val="en-US" w:eastAsia="zh-CN" w:bidi="ar-SA"/>
    </w:rPr>
  </w:style>
  <w:style w:type="character" w:customStyle="1" w:styleId="27">
    <w:name w:val="日期 Char"/>
    <w:link w:val="10"/>
    <w:qFormat/>
    <w:uiPriority w:val="0"/>
    <w:rPr>
      <w:rFonts w:eastAsia="仿宋_GB2312"/>
      <w:kern w:val="2"/>
      <w:sz w:val="36"/>
      <w:szCs w:val="24"/>
    </w:rPr>
  </w:style>
  <w:style w:type="character" w:customStyle="1" w:styleId="28">
    <w:name w:val="标题 2 Char"/>
    <w:basedOn w:val="17"/>
    <w:link w:val="2"/>
    <w:semiHidden/>
    <w:qFormat/>
    <w:uiPriority w:val="0"/>
    <w:rPr>
      <w:rFonts w:ascii="Cambria" w:hAnsi="Cambria" w:eastAsia="宋体" w:cs="Times New Roman"/>
      <w:b/>
      <w:bCs/>
      <w:kern w:val="2"/>
      <w:sz w:val="32"/>
      <w:szCs w:val="32"/>
    </w:rPr>
  </w:style>
  <w:style w:type="paragraph" w:customStyle="1" w:styleId="29">
    <w:name w:val="列出段落1"/>
    <w:basedOn w:val="1"/>
    <w:qFormat/>
    <w:uiPriority w:val="34"/>
    <w:pPr>
      <w:ind w:firstLine="420" w:firstLineChars="200"/>
    </w:pPr>
  </w:style>
  <w:style w:type="paragraph" w:customStyle="1" w:styleId="30">
    <w:name w:val="修订1"/>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208BF6-0B64-4BF9-819F-B286E0CFA1EB}">
  <ds:schemaRefs/>
</ds:datastoreItem>
</file>

<file path=docProps/app.xml><?xml version="1.0" encoding="utf-8"?>
<Properties xmlns="http://schemas.openxmlformats.org/officeDocument/2006/extended-properties" xmlns:vt="http://schemas.openxmlformats.org/officeDocument/2006/docPropsVTypes">
  <Template>Normal</Template>
  <Company>Microsoft China</Company>
  <Pages>33</Pages>
  <Words>3645</Words>
  <Characters>20782</Characters>
  <Lines>173</Lines>
  <Paragraphs>48</Paragraphs>
  <TotalTime>0</TotalTime>
  <ScaleCrop>false</ScaleCrop>
  <LinksUpToDate>false</LinksUpToDate>
  <CharactersWithSpaces>24379</CharactersWithSpaces>
  <Application>WPS Office_10.8.0.6108_F1E327BC-269C-435d-A152-05C5408002CA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2018-07-23T09:09:00Z</dcterms:created>
  <dc:creator>伍建权</dc:creator>
  <cp:lastModifiedBy>何勤荣[heqinrong]</cp:lastModifiedBy>
  <cp:lastPrinted>2015-07-30T09:42:00Z</cp:lastPrinted>
  <dcterms:modified xsi:type="dcterms:W3CDTF">2018-07-24T06:44:05Z</dcterms:modified>
  <dc:title>重庆松藻煤电有限责任公司</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2052-10.8.0.6108</vt:lpwstr>
  </property>
</Properties>
</file>